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32860E" w14:textId="77777777" w:rsidR="00D02BCC" w:rsidRPr="009277F7" w:rsidRDefault="00D85034" w:rsidP="00F72587">
      <w:pPr>
        <w:rPr>
          <w:rFonts w:ascii="Arial" w:hAnsi="Arial" w:cs="Arial"/>
          <w:b/>
          <w:sz w:val="32"/>
          <w:szCs w:val="32"/>
        </w:rPr>
      </w:pPr>
      <w:r w:rsidRPr="009277F7">
        <w:rPr>
          <w:rFonts w:ascii="Arial" w:hAnsi="Arial" w:cs="Arial"/>
          <w:b/>
          <w:sz w:val="32"/>
          <w:szCs w:val="32"/>
        </w:rPr>
        <w:t>TC n.º 16845/2021</w:t>
      </w:r>
    </w:p>
    <w:p w14:paraId="5C4DAF03" w14:textId="77777777" w:rsidR="00D85034" w:rsidRPr="009277F7" w:rsidRDefault="00D85034" w:rsidP="00D85034">
      <w:pPr>
        <w:pBdr>
          <w:bottom w:val="single" w:sz="12" w:space="1" w:color="auto"/>
        </w:pBdr>
        <w:jc w:val="both"/>
        <w:rPr>
          <w:rFonts w:ascii="Arial" w:hAnsi="Arial" w:cs="Arial"/>
          <w:sz w:val="32"/>
          <w:szCs w:val="32"/>
        </w:rPr>
      </w:pPr>
      <w:r w:rsidRPr="009277F7">
        <w:rPr>
          <w:rFonts w:ascii="Arial" w:hAnsi="Arial" w:cs="Arial"/>
          <w:sz w:val="32"/>
          <w:szCs w:val="32"/>
        </w:rPr>
        <w:t xml:space="preserve">Manifestação sobre a proposta de alteração do Contrato de Concessão 003/SMSO/2018, atinente </w:t>
      </w:r>
      <w:r w:rsidR="00BA364E" w:rsidRPr="009277F7">
        <w:rPr>
          <w:rFonts w:ascii="Arial" w:hAnsi="Arial" w:cs="Arial"/>
          <w:sz w:val="32"/>
          <w:szCs w:val="32"/>
        </w:rPr>
        <w:t>à</w:t>
      </w:r>
      <w:r w:rsidRPr="009277F7">
        <w:rPr>
          <w:rFonts w:ascii="Arial" w:hAnsi="Arial" w:cs="Arial"/>
          <w:sz w:val="32"/>
          <w:szCs w:val="32"/>
        </w:rPr>
        <w:t xml:space="preserve"> PPP da Iluminação Pública, destinada a agregar serviços de substituição, modernização e manutenção da infraestrutura da rede semafórica da cidade de São Paulo.</w:t>
      </w:r>
    </w:p>
    <w:p w14:paraId="2B3FDD88" w14:textId="77777777" w:rsidR="00D85034" w:rsidRPr="009277F7" w:rsidRDefault="00D85034" w:rsidP="009277F7">
      <w:pPr>
        <w:ind w:firstLine="1134"/>
        <w:jc w:val="both"/>
        <w:rPr>
          <w:rFonts w:ascii="Arial" w:hAnsi="Arial" w:cs="Arial"/>
          <w:sz w:val="32"/>
          <w:szCs w:val="32"/>
        </w:rPr>
      </w:pPr>
    </w:p>
    <w:p w14:paraId="4C228345" w14:textId="05E7475F" w:rsidR="00D85034" w:rsidRPr="009277F7" w:rsidRDefault="00D85034" w:rsidP="009277F7">
      <w:pPr>
        <w:ind w:firstLine="1134"/>
        <w:jc w:val="both"/>
        <w:rPr>
          <w:rFonts w:ascii="Arial" w:hAnsi="Arial" w:cs="Arial"/>
          <w:sz w:val="32"/>
          <w:szCs w:val="32"/>
        </w:rPr>
      </w:pPr>
      <w:r w:rsidRPr="009277F7">
        <w:rPr>
          <w:rFonts w:ascii="Arial" w:hAnsi="Arial" w:cs="Arial"/>
          <w:sz w:val="32"/>
          <w:szCs w:val="32"/>
        </w:rPr>
        <w:t xml:space="preserve">O presente </w:t>
      </w:r>
      <w:r w:rsidR="00552A01">
        <w:rPr>
          <w:rFonts w:ascii="Arial" w:hAnsi="Arial" w:cs="Arial"/>
          <w:sz w:val="32"/>
          <w:szCs w:val="32"/>
        </w:rPr>
        <w:t xml:space="preserve">procedimento </w:t>
      </w:r>
      <w:r w:rsidRPr="009277F7">
        <w:rPr>
          <w:rFonts w:ascii="Arial" w:hAnsi="Arial" w:cs="Arial"/>
          <w:sz w:val="32"/>
          <w:szCs w:val="32"/>
        </w:rPr>
        <w:t xml:space="preserve">de fiscalização foi instaurado </w:t>
      </w:r>
      <w:r w:rsidR="00A3151A">
        <w:rPr>
          <w:rFonts w:ascii="Arial" w:hAnsi="Arial" w:cs="Arial"/>
          <w:sz w:val="32"/>
          <w:szCs w:val="32"/>
        </w:rPr>
        <w:t>em razão</w:t>
      </w:r>
      <w:r w:rsidR="00F964DD">
        <w:rPr>
          <w:rFonts w:ascii="Arial" w:hAnsi="Arial" w:cs="Arial"/>
          <w:sz w:val="32"/>
          <w:szCs w:val="32"/>
        </w:rPr>
        <w:t xml:space="preserve"> de</w:t>
      </w:r>
      <w:r w:rsidR="00A3151A">
        <w:rPr>
          <w:rFonts w:ascii="Arial" w:hAnsi="Arial" w:cs="Arial"/>
          <w:sz w:val="32"/>
          <w:szCs w:val="32"/>
        </w:rPr>
        <w:t xml:space="preserve"> </w:t>
      </w:r>
      <w:r w:rsidR="00B53B6C" w:rsidRPr="00B53B6C">
        <w:rPr>
          <w:rFonts w:ascii="Arial" w:hAnsi="Arial" w:cs="Arial"/>
          <w:sz w:val="32"/>
          <w:szCs w:val="32"/>
        </w:rPr>
        <w:t xml:space="preserve">comunicado </w:t>
      </w:r>
      <w:r w:rsidR="00B53B6C">
        <w:rPr>
          <w:rFonts w:ascii="Arial" w:hAnsi="Arial" w:cs="Arial"/>
          <w:sz w:val="32"/>
          <w:szCs w:val="32"/>
        </w:rPr>
        <w:t xml:space="preserve">encaminhado </w:t>
      </w:r>
      <w:r w:rsidR="00B53B6C" w:rsidRPr="00B53B6C">
        <w:rPr>
          <w:rFonts w:ascii="Arial" w:hAnsi="Arial" w:cs="Arial"/>
          <w:sz w:val="32"/>
          <w:szCs w:val="32"/>
        </w:rPr>
        <w:t>pelo Exmo. Senhor Prefeito</w:t>
      </w:r>
      <w:r w:rsidR="00F964DD">
        <w:rPr>
          <w:rFonts w:ascii="Arial" w:hAnsi="Arial" w:cs="Arial"/>
          <w:sz w:val="32"/>
          <w:szCs w:val="32"/>
        </w:rPr>
        <w:t xml:space="preserve"> que enunciou </w:t>
      </w:r>
      <w:r w:rsidR="00AD4A6D">
        <w:rPr>
          <w:rFonts w:ascii="Arial" w:hAnsi="Arial" w:cs="Arial"/>
          <w:sz w:val="32"/>
          <w:szCs w:val="32"/>
        </w:rPr>
        <w:t>a pretensão</w:t>
      </w:r>
      <w:r w:rsidRPr="009277F7">
        <w:rPr>
          <w:rFonts w:ascii="Arial" w:hAnsi="Arial" w:cs="Arial"/>
          <w:sz w:val="32"/>
          <w:szCs w:val="32"/>
        </w:rPr>
        <w:t xml:space="preserve"> da Prefeitura da </w:t>
      </w:r>
      <w:r w:rsidR="00BA364E" w:rsidRPr="009277F7">
        <w:rPr>
          <w:rFonts w:ascii="Arial" w:hAnsi="Arial" w:cs="Arial"/>
          <w:sz w:val="32"/>
          <w:szCs w:val="32"/>
        </w:rPr>
        <w:t>C</w:t>
      </w:r>
      <w:r w:rsidRPr="009277F7">
        <w:rPr>
          <w:rFonts w:ascii="Arial" w:hAnsi="Arial" w:cs="Arial"/>
          <w:sz w:val="32"/>
          <w:szCs w:val="32"/>
        </w:rPr>
        <w:t xml:space="preserve">idade de São Paulo em agregar ao Contrato de Concessão 003/SMSO/2018, atinente </w:t>
      </w:r>
      <w:r w:rsidR="00BA364E" w:rsidRPr="009277F7">
        <w:rPr>
          <w:rFonts w:ascii="Arial" w:hAnsi="Arial" w:cs="Arial"/>
          <w:sz w:val="32"/>
          <w:szCs w:val="32"/>
        </w:rPr>
        <w:t>à</w:t>
      </w:r>
      <w:r w:rsidRPr="009277F7">
        <w:rPr>
          <w:rFonts w:ascii="Arial" w:hAnsi="Arial" w:cs="Arial"/>
          <w:sz w:val="32"/>
          <w:szCs w:val="32"/>
        </w:rPr>
        <w:t xml:space="preserve"> PPP da Iluminação Pública, os serviços de substituição, modernização e manutenção da infraestrutura da rede semafórica da cidade de São Paulo.</w:t>
      </w:r>
    </w:p>
    <w:p w14:paraId="6312D83D" w14:textId="6D43967D" w:rsidR="00715E92" w:rsidRPr="009277F7" w:rsidRDefault="00715E92" w:rsidP="009277F7">
      <w:pPr>
        <w:ind w:firstLine="1134"/>
        <w:jc w:val="both"/>
        <w:rPr>
          <w:rFonts w:ascii="Arial" w:hAnsi="Arial" w:cs="Arial"/>
          <w:sz w:val="32"/>
          <w:szCs w:val="32"/>
        </w:rPr>
      </w:pPr>
      <w:r w:rsidRPr="009277F7">
        <w:rPr>
          <w:rFonts w:ascii="Arial" w:hAnsi="Arial" w:cs="Arial"/>
          <w:sz w:val="32"/>
          <w:szCs w:val="32"/>
        </w:rPr>
        <w:t xml:space="preserve">O contrato de iluminação pública foi celebrado no dia 8 de março de 2018 entre o </w:t>
      </w:r>
      <w:r w:rsidR="00D42922">
        <w:rPr>
          <w:rFonts w:ascii="Arial" w:hAnsi="Arial" w:cs="Arial"/>
          <w:sz w:val="32"/>
          <w:szCs w:val="32"/>
        </w:rPr>
        <w:t>M</w:t>
      </w:r>
      <w:r w:rsidRPr="009277F7">
        <w:rPr>
          <w:rFonts w:ascii="Arial" w:hAnsi="Arial" w:cs="Arial"/>
          <w:sz w:val="32"/>
          <w:szCs w:val="32"/>
        </w:rPr>
        <w:t xml:space="preserve">unicípio de São Paulo, representado pela Secretaria Municipal de Serviços e Obras (SMSO), e a empresa Iluminação Paulistana SPE S/A, </w:t>
      </w:r>
      <w:r w:rsidR="00F01270" w:rsidRPr="009277F7">
        <w:rPr>
          <w:rFonts w:ascii="Arial" w:hAnsi="Arial" w:cs="Arial"/>
          <w:sz w:val="32"/>
          <w:szCs w:val="32"/>
        </w:rPr>
        <w:t xml:space="preserve">tendo por objeto a celebração de Parceria Público-Privada na modalidade de </w:t>
      </w:r>
      <w:r w:rsidR="00704248">
        <w:rPr>
          <w:rFonts w:ascii="Arial" w:hAnsi="Arial" w:cs="Arial"/>
          <w:sz w:val="32"/>
          <w:szCs w:val="32"/>
        </w:rPr>
        <w:t>C</w:t>
      </w:r>
      <w:r w:rsidR="00F01270" w:rsidRPr="009277F7">
        <w:rPr>
          <w:rFonts w:ascii="Arial" w:hAnsi="Arial" w:cs="Arial"/>
          <w:sz w:val="32"/>
          <w:szCs w:val="32"/>
        </w:rPr>
        <w:t xml:space="preserve">oncessão </w:t>
      </w:r>
      <w:r w:rsidR="00704248">
        <w:rPr>
          <w:rFonts w:ascii="Arial" w:hAnsi="Arial" w:cs="Arial"/>
          <w:sz w:val="32"/>
          <w:szCs w:val="32"/>
        </w:rPr>
        <w:t>A</w:t>
      </w:r>
      <w:r w:rsidR="00F01270" w:rsidRPr="009277F7">
        <w:rPr>
          <w:rFonts w:ascii="Arial" w:hAnsi="Arial" w:cs="Arial"/>
          <w:sz w:val="32"/>
          <w:szCs w:val="32"/>
        </w:rPr>
        <w:t>dministrativa para modernização, otimização, expansão, operação, manutenção e controle remoto e em tempo real da infraestrutura da rede de iluminação pública do município de São Paulo.</w:t>
      </w:r>
    </w:p>
    <w:p w14:paraId="64FE84C2" w14:textId="77777777" w:rsidR="00183C53" w:rsidRPr="009277F7" w:rsidRDefault="00183C53" w:rsidP="009277F7">
      <w:pPr>
        <w:ind w:firstLine="1134"/>
        <w:jc w:val="both"/>
        <w:rPr>
          <w:rFonts w:ascii="Arial" w:hAnsi="Arial" w:cs="Arial"/>
          <w:sz w:val="32"/>
          <w:szCs w:val="32"/>
        </w:rPr>
      </w:pPr>
      <w:r w:rsidRPr="009277F7">
        <w:rPr>
          <w:rFonts w:ascii="Arial" w:hAnsi="Arial" w:cs="Arial"/>
          <w:sz w:val="32"/>
          <w:szCs w:val="32"/>
        </w:rPr>
        <w:t xml:space="preserve">Tendo em vista a decisão do Tribunal de Justiça do Estado de São Paulo - TJSP, que anulou o Contrato nº 003/SMSO/2018, e a posterior retomada, por </w:t>
      </w:r>
      <w:r w:rsidR="00097881">
        <w:rPr>
          <w:rFonts w:ascii="Arial" w:hAnsi="Arial" w:cs="Arial"/>
          <w:sz w:val="32"/>
          <w:szCs w:val="32"/>
        </w:rPr>
        <w:t>deliberação</w:t>
      </w:r>
      <w:r w:rsidRPr="009277F7">
        <w:rPr>
          <w:rFonts w:ascii="Arial" w:hAnsi="Arial" w:cs="Arial"/>
          <w:sz w:val="32"/>
          <w:szCs w:val="32"/>
        </w:rPr>
        <w:t xml:space="preserve"> do Superior Tribunal de Justiça – STJ, no âmbito da  Suspensão de Segurança (SS) n. 3078 SP, houve o retorno à plena eficácia do referido Contrato, com a retomada mediante celebração do Termo de Retomada Definitiva da Execução Integral do Objeto do Contrato nº 003/SMSO/2018 em </w:t>
      </w:r>
      <w:r w:rsidRPr="009277F7">
        <w:rPr>
          <w:rFonts w:ascii="Arial" w:hAnsi="Arial" w:cs="Arial"/>
          <w:sz w:val="32"/>
          <w:szCs w:val="32"/>
        </w:rPr>
        <w:lastRenderedPageBreak/>
        <w:t>30.01.2020. Registre-se que pende ainda de exame naquela Corte Superior o exame de recursos interpostos em face da decisão que autorizou a execução integral do contrato da PPP.</w:t>
      </w:r>
    </w:p>
    <w:p w14:paraId="1337F633" w14:textId="35E78C45" w:rsidR="00AA2F05" w:rsidRPr="009277F7" w:rsidRDefault="00AA2F05" w:rsidP="009277F7">
      <w:pPr>
        <w:ind w:firstLine="1134"/>
        <w:jc w:val="both"/>
        <w:rPr>
          <w:rFonts w:ascii="Arial" w:hAnsi="Arial" w:cs="Arial"/>
          <w:sz w:val="32"/>
          <w:szCs w:val="32"/>
        </w:rPr>
      </w:pPr>
      <w:r w:rsidRPr="009277F7">
        <w:rPr>
          <w:rFonts w:ascii="Arial" w:hAnsi="Arial" w:cs="Arial"/>
          <w:sz w:val="32"/>
          <w:szCs w:val="32"/>
        </w:rPr>
        <w:t xml:space="preserve">Atualmente </w:t>
      </w:r>
      <w:r w:rsidR="00847820">
        <w:rPr>
          <w:rFonts w:ascii="Arial" w:hAnsi="Arial" w:cs="Arial"/>
          <w:sz w:val="32"/>
          <w:szCs w:val="32"/>
        </w:rPr>
        <w:t>o Contrato n.º 03/SMSO/2018 está</w:t>
      </w:r>
      <w:r w:rsidRPr="009277F7">
        <w:rPr>
          <w:rFonts w:ascii="Arial" w:hAnsi="Arial" w:cs="Arial"/>
          <w:sz w:val="32"/>
          <w:szCs w:val="32"/>
        </w:rPr>
        <w:t xml:space="preserve"> sob a gestão da SP</w:t>
      </w:r>
      <w:r w:rsidR="00847820">
        <w:rPr>
          <w:rFonts w:ascii="Arial" w:hAnsi="Arial" w:cs="Arial"/>
          <w:sz w:val="32"/>
          <w:szCs w:val="32"/>
        </w:rPr>
        <w:t xml:space="preserve"> Regula</w:t>
      </w:r>
      <w:r w:rsidRPr="009277F7">
        <w:rPr>
          <w:rFonts w:ascii="Arial" w:hAnsi="Arial" w:cs="Arial"/>
          <w:sz w:val="32"/>
          <w:szCs w:val="32"/>
        </w:rPr>
        <w:t>, desde 01/04/2022, conforme extrato do 3º Termo Aditivo, publicado no D</w:t>
      </w:r>
      <w:r w:rsidR="00596B14">
        <w:rPr>
          <w:rFonts w:ascii="Arial" w:hAnsi="Arial" w:cs="Arial"/>
          <w:sz w:val="32"/>
          <w:szCs w:val="32"/>
        </w:rPr>
        <w:t xml:space="preserve">iário Oficial da Cidade </w:t>
      </w:r>
      <w:r w:rsidRPr="009277F7">
        <w:rPr>
          <w:rFonts w:ascii="Arial" w:hAnsi="Arial" w:cs="Arial"/>
          <w:sz w:val="32"/>
          <w:szCs w:val="32"/>
        </w:rPr>
        <w:t xml:space="preserve">de 01/04/2022, que sub-rogou </w:t>
      </w:r>
      <w:r w:rsidR="00847820">
        <w:rPr>
          <w:rFonts w:ascii="Arial" w:hAnsi="Arial" w:cs="Arial"/>
          <w:sz w:val="32"/>
          <w:szCs w:val="32"/>
        </w:rPr>
        <w:t>à</w:t>
      </w:r>
      <w:r w:rsidRPr="009277F7">
        <w:rPr>
          <w:rFonts w:ascii="Arial" w:hAnsi="Arial" w:cs="Arial"/>
          <w:sz w:val="32"/>
          <w:szCs w:val="32"/>
        </w:rPr>
        <w:t>quela ag</w:t>
      </w:r>
      <w:r w:rsidR="00847820">
        <w:rPr>
          <w:rFonts w:ascii="Arial" w:hAnsi="Arial" w:cs="Arial"/>
          <w:sz w:val="32"/>
          <w:szCs w:val="32"/>
        </w:rPr>
        <w:t>ê</w:t>
      </w:r>
      <w:r w:rsidRPr="009277F7">
        <w:rPr>
          <w:rFonts w:ascii="Arial" w:hAnsi="Arial" w:cs="Arial"/>
          <w:sz w:val="32"/>
          <w:szCs w:val="32"/>
        </w:rPr>
        <w:t xml:space="preserve">ncia reguladora todos os direitos e obrigações ali contidos, bem como a fiscalização do instrumento. </w:t>
      </w:r>
    </w:p>
    <w:p w14:paraId="64ECAF55" w14:textId="57FA5EC6" w:rsidR="00715E92" w:rsidRPr="009277F7" w:rsidRDefault="00847820" w:rsidP="009277F7">
      <w:pPr>
        <w:ind w:firstLine="1134"/>
        <w:jc w:val="both"/>
        <w:rPr>
          <w:rFonts w:ascii="Arial" w:hAnsi="Arial" w:cs="Arial"/>
          <w:sz w:val="32"/>
          <w:szCs w:val="32"/>
        </w:rPr>
      </w:pPr>
      <w:r>
        <w:rPr>
          <w:rFonts w:ascii="Arial" w:hAnsi="Arial" w:cs="Arial"/>
          <w:sz w:val="32"/>
          <w:szCs w:val="32"/>
        </w:rPr>
        <w:t xml:space="preserve">A </w:t>
      </w:r>
      <w:r w:rsidR="00715E92" w:rsidRPr="009277F7">
        <w:rPr>
          <w:rFonts w:ascii="Arial" w:hAnsi="Arial" w:cs="Arial"/>
          <w:sz w:val="32"/>
          <w:szCs w:val="32"/>
        </w:rPr>
        <w:t xml:space="preserve">Companhia de Engenharia </w:t>
      </w:r>
      <w:r w:rsidR="00EB00B6">
        <w:rPr>
          <w:rFonts w:ascii="Arial" w:hAnsi="Arial" w:cs="Arial"/>
          <w:sz w:val="32"/>
          <w:szCs w:val="32"/>
        </w:rPr>
        <w:t>d</w:t>
      </w:r>
      <w:r w:rsidR="00715E92" w:rsidRPr="009277F7">
        <w:rPr>
          <w:rFonts w:ascii="Arial" w:hAnsi="Arial" w:cs="Arial"/>
          <w:sz w:val="32"/>
          <w:szCs w:val="32"/>
        </w:rPr>
        <w:t xml:space="preserve">e Tráfego (CET) encaminhou pedido </w:t>
      </w:r>
      <w:r>
        <w:rPr>
          <w:rFonts w:ascii="Arial" w:hAnsi="Arial" w:cs="Arial"/>
          <w:sz w:val="32"/>
          <w:szCs w:val="32"/>
        </w:rPr>
        <w:t>à</w:t>
      </w:r>
      <w:r w:rsidR="00715E92" w:rsidRPr="009277F7">
        <w:rPr>
          <w:rFonts w:ascii="Arial" w:hAnsi="Arial" w:cs="Arial"/>
          <w:sz w:val="32"/>
          <w:szCs w:val="32"/>
        </w:rPr>
        <w:t xml:space="preserve"> Secretaria Municipal de Mobilidade Urbana e Licenciamento (SMUL) </w:t>
      </w:r>
      <w:r w:rsidR="0001056E">
        <w:rPr>
          <w:rFonts w:ascii="Arial" w:hAnsi="Arial" w:cs="Arial"/>
          <w:sz w:val="32"/>
          <w:szCs w:val="32"/>
        </w:rPr>
        <w:t xml:space="preserve">quanto à </w:t>
      </w:r>
      <w:r w:rsidR="00715E92" w:rsidRPr="009277F7">
        <w:rPr>
          <w:rFonts w:ascii="Arial" w:hAnsi="Arial" w:cs="Arial"/>
          <w:sz w:val="32"/>
          <w:szCs w:val="32"/>
        </w:rPr>
        <w:t>viabilidade de incluir os serviços semafóricos do município no objeto do Contrato de Iluminação Pública.</w:t>
      </w:r>
    </w:p>
    <w:p w14:paraId="670F418B" w14:textId="3FD0BE83" w:rsidR="00715E92" w:rsidRPr="009277F7" w:rsidRDefault="00715E92" w:rsidP="009277F7">
      <w:pPr>
        <w:ind w:firstLine="1134"/>
        <w:jc w:val="both"/>
        <w:rPr>
          <w:rFonts w:ascii="Arial" w:hAnsi="Arial" w:cs="Arial"/>
          <w:sz w:val="32"/>
          <w:szCs w:val="32"/>
        </w:rPr>
      </w:pPr>
      <w:r w:rsidRPr="009277F7">
        <w:rPr>
          <w:rFonts w:ascii="Arial" w:hAnsi="Arial" w:cs="Arial"/>
          <w:sz w:val="32"/>
          <w:szCs w:val="32"/>
        </w:rPr>
        <w:t>O escopo do contrato a ser incorporado prevê a troca de 1</w:t>
      </w:r>
      <w:r w:rsidR="00BF324F">
        <w:rPr>
          <w:rFonts w:ascii="Arial" w:hAnsi="Arial" w:cs="Arial"/>
          <w:sz w:val="32"/>
          <w:szCs w:val="32"/>
        </w:rPr>
        <w:t>.</w:t>
      </w:r>
      <w:r w:rsidRPr="009277F7">
        <w:rPr>
          <w:rFonts w:ascii="Arial" w:hAnsi="Arial" w:cs="Arial"/>
          <w:sz w:val="32"/>
          <w:szCs w:val="32"/>
        </w:rPr>
        <w:t>976 (mil, novecentos e setenta e seis) controla</w:t>
      </w:r>
      <w:r w:rsidR="00BC0980" w:rsidRPr="006E57A5">
        <w:rPr>
          <w:rFonts w:ascii="Arial" w:hAnsi="Arial" w:cs="Arial"/>
          <w:sz w:val="32"/>
          <w:szCs w:val="32"/>
        </w:rPr>
        <w:t>do</w:t>
      </w:r>
      <w:r w:rsidRPr="009277F7">
        <w:rPr>
          <w:rFonts w:ascii="Arial" w:hAnsi="Arial" w:cs="Arial"/>
          <w:sz w:val="32"/>
          <w:szCs w:val="32"/>
        </w:rPr>
        <w:t>res semafóricos, sendo 610 de tempo real, 396</w:t>
      </w:r>
      <w:r w:rsidR="006E57A5">
        <w:rPr>
          <w:rFonts w:ascii="Arial" w:hAnsi="Arial" w:cs="Arial"/>
          <w:sz w:val="32"/>
          <w:szCs w:val="32"/>
        </w:rPr>
        <w:t xml:space="preserve"> </w:t>
      </w:r>
      <w:r w:rsidR="006E57A5" w:rsidRPr="006E57A5">
        <w:rPr>
          <w:rFonts w:ascii="Arial" w:hAnsi="Arial" w:cs="Arial"/>
          <w:sz w:val="32"/>
          <w:szCs w:val="32"/>
        </w:rPr>
        <w:t>de</w:t>
      </w:r>
      <w:r w:rsidRPr="009277F7">
        <w:rPr>
          <w:rFonts w:ascii="Arial" w:hAnsi="Arial" w:cs="Arial"/>
          <w:sz w:val="32"/>
          <w:szCs w:val="32"/>
        </w:rPr>
        <w:t xml:space="preserve"> tempo fixo centralizado, 14 de tempo fixo monitorado e ainda outros 956 controladores a serem utilizados na manutenção corretiva, </w:t>
      </w:r>
      <w:r w:rsidR="002F4FD9">
        <w:rPr>
          <w:rFonts w:ascii="Arial" w:hAnsi="Arial" w:cs="Arial"/>
          <w:sz w:val="32"/>
          <w:szCs w:val="32"/>
        </w:rPr>
        <w:t xml:space="preserve">além de </w:t>
      </w:r>
      <w:r w:rsidRPr="009277F7">
        <w:rPr>
          <w:rFonts w:ascii="Arial" w:hAnsi="Arial" w:cs="Arial"/>
          <w:sz w:val="32"/>
          <w:szCs w:val="32"/>
        </w:rPr>
        <w:t>mais</w:t>
      </w:r>
      <w:r w:rsidR="002F4FD9">
        <w:rPr>
          <w:rFonts w:ascii="Arial" w:hAnsi="Arial" w:cs="Arial"/>
          <w:sz w:val="32"/>
          <w:szCs w:val="32"/>
        </w:rPr>
        <w:t xml:space="preserve"> de</w:t>
      </w:r>
      <w:r w:rsidRPr="009277F7">
        <w:rPr>
          <w:rFonts w:ascii="Arial" w:hAnsi="Arial" w:cs="Arial"/>
          <w:sz w:val="32"/>
          <w:szCs w:val="32"/>
        </w:rPr>
        <w:t xml:space="preserve"> 173 km de rede subterrânea de transmissão de dados e 82 km de rede subterrânea elétrica. </w:t>
      </w:r>
    </w:p>
    <w:p w14:paraId="4F526064" w14:textId="7E49B86E" w:rsidR="00715E92" w:rsidRPr="009277F7" w:rsidRDefault="00715E92" w:rsidP="009277F7">
      <w:pPr>
        <w:ind w:firstLine="1134"/>
        <w:jc w:val="both"/>
        <w:rPr>
          <w:rFonts w:ascii="Arial" w:hAnsi="Arial" w:cs="Arial"/>
          <w:sz w:val="32"/>
          <w:szCs w:val="32"/>
        </w:rPr>
      </w:pPr>
      <w:r w:rsidRPr="009277F7">
        <w:rPr>
          <w:rFonts w:ascii="Arial" w:hAnsi="Arial" w:cs="Arial"/>
          <w:sz w:val="32"/>
          <w:szCs w:val="32"/>
        </w:rPr>
        <w:t>A alteração contratual para adotar o pedido da CET veio apresentad</w:t>
      </w:r>
      <w:r w:rsidR="00884533">
        <w:rPr>
          <w:rFonts w:ascii="Arial" w:hAnsi="Arial" w:cs="Arial"/>
          <w:sz w:val="32"/>
          <w:szCs w:val="32"/>
        </w:rPr>
        <w:t>a</w:t>
      </w:r>
      <w:r w:rsidRPr="009277F7">
        <w:rPr>
          <w:rFonts w:ascii="Arial" w:hAnsi="Arial" w:cs="Arial"/>
          <w:sz w:val="32"/>
          <w:szCs w:val="32"/>
        </w:rPr>
        <w:t xml:space="preserve"> com notas técnicas</w:t>
      </w:r>
      <w:r w:rsidR="000546CE" w:rsidRPr="009277F7">
        <w:rPr>
          <w:rFonts w:ascii="Arial" w:hAnsi="Arial" w:cs="Arial"/>
          <w:sz w:val="32"/>
          <w:szCs w:val="32"/>
        </w:rPr>
        <w:t xml:space="preserve"> e um conjunto vasto de documentos</w:t>
      </w:r>
      <w:r w:rsidRPr="009277F7">
        <w:rPr>
          <w:rFonts w:ascii="Arial" w:hAnsi="Arial" w:cs="Arial"/>
          <w:sz w:val="32"/>
          <w:szCs w:val="32"/>
        </w:rPr>
        <w:t xml:space="preserve">, </w:t>
      </w:r>
      <w:r w:rsidR="006D4B49">
        <w:rPr>
          <w:rFonts w:ascii="Arial" w:hAnsi="Arial" w:cs="Arial"/>
          <w:sz w:val="32"/>
          <w:szCs w:val="32"/>
        </w:rPr>
        <w:t xml:space="preserve">da </w:t>
      </w:r>
      <w:r w:rsidR="00BA364E" w:rsidRPr="009277F7">
        <w:rPr>
          <w:rFonts w:ascii="Arial" w:hAnsi="Arial" w:cs="Arial"/>
          <w:sz w:val="32"/>
          <w:szCs w:val="32"/>
        </w:rPr>
        <w:t>própria</w:t>
      </w:r>
      <w:r w:rsidRPr="009277F7">
        <w:rPr>
          <w:rFonts w:ascii="Arial" w:hAnsi="Arial" w:cs="Arial"/>
          <w:sz w:val="32"/>
          <w:szCs w:val="32"/>
        </w:rPr>
        <w:t xml:space="preserve"> CET</w:t>
      </w:r>
      <w:r w:rsidR="006D4B49">
        <w:rPr>
          <w:rFonts w:ascii="Arial" w:hAnsi="Arial" w:cs="Arial"/>
          <w:sz w:val="32"/>
          <w:szCs w:val="32"/>
        </w:rPr>
        <w:t xml:space="preserve">, </w:t>
      </w:r>
      <w:r w:rsidRPr="009277F7">
        <w:rPr>
          <w:rFonts w:ascii="Arial" w:hAnsi="Arial" w:cs="Arial"/>
          <w:sz w:val="32"/>
          <w:szCs w:val="32"/>
        </w:rPr>
        <w:t xml:space="preserve">da Secretaria Municipal de </w:t>
      </w:r>
      <w:r w:rsidR="00D106CA" w:rsidRPr="009277F7">
        <w:rPr>
          <w:rFonts w:ascii="Arial" w:hAnsi="Arial" w:cs="Arial"/>
          <w:sz w:val="32"/>
          <w:szCs w:val="32"/>
        </w:rPr>
        <w:t>Mobilidade Urbana</w:t>
      </w:r>
      <w:r w:rsidR="006D4B49">
        <w:rPr>
          <w:rFonts w:ascii="Arial" w:hAnsi="Arial" w:cs="Arial"/>
          <w:sz w:val="32"/>
          <w:szCs w:val="32"/>
        </w:rPr>
        <w:t xml:space="preserve">, bem como de </w:t>
      </w:r>
      <w:r w:rsidR="00D106CA" w:rsidRPr="009277F7">
        <w:rPr>
          <w:rFonts w:ascii="Arial" w:hAnsi="Arial" w:cs="Arial"/>
          <w:sz w:val="32"/>
          <w:szCs w:val="32"/>
        </w:rPr>
        <w:t>parecer da GO Associados de lavra</w:t>
      </w:r>
      <w:r w:rsidR="00BA364E" w:rsidRPr="009277F7">
        <w:rPr>
          <w:rFonts w:ascii="Arial" w:hAnsi="Arial" w:cs="Arial"/>
          <w:sz w:val="32"/>
          <w:szCs w:val="32"/>
        </w:rPr>
        <w:t xml:space="preserve"> do Prof. </w:t>
      </w:r>
      <w:r w:rsidR="00D106CA" w:rsidRPr="009277F7">
        <w:rPr>
          <w:rFonts w:ascii="Arial" w:hAnsi="Arial" w:cs="Arial"/>
          <w:sz w:val="32"/>
          <w:szCs w:val="32"/>
        </w:rPr>
        <w:t>Gesner Oliveira</w:t>
      </w:r>
      <w:r w:rsidR="009323FE">
        <w:rPr>
          <w:rFonts w:ascii="Arial" w:hAnsi="Arial" w:cs="Arial"/>
          <w:sz w:val="32"/>
          <w:szCs w:val="32"/>
        </w:rPr>
        <w:t xml:space="preserve">, PhD </w:t>
      </w:r>
      <w:r w:rsidR="00E10D35">
        <w:rPr>
          <w:rFonts w:ascii="Arial" w:hAnsi="Arial" w:cs="Arial"/>
          <w:sz w:val="32"/>
          <w:szCs w:val="32"/>
        </w:rPr>
        <w:t>em Economia pela Universidade da Califórnia/Berlekey</w:t>
      </w:r>
      <w:r w:rsidR="00D106CA" w:rsidRPr="009277F7">
        <w:rPr>
          <w:rFonts w:ascii="Arial" w:hAnsi="Arial" w:cs="Arial"/>
          <w:sz w:val="32"/>
          <w:szCs w:val="32"/>
        </w:rPr>
        <w:t xml:space="preserve"> e </w:t>
      </w:r>
      <w:r w:rsidR="004E7D10">
        <w:rPr>
          <w:rFonts w:ascii="Arial" w:hAnsi="Arial" w:cs="Arial"/>
          <w:sz w:val="32"/>
          <w:szCs w:val="32"/>
        </w:rPr>
        <w:t>de</w:t>
      </w:r>
      <w:r w:rsidR="00D106CA" w:rsidRPr="009277F7">
        <w:rPr>
          <w:rFonts w:ascii="Arial" w:hAnsi="Arial" w:cs="Arial"/>
          <w:sz w:val="32"/>
          <w:szCs w:val="32"/>
        </w:rPr>
        <w:t xml:space="preserve"> parecer jurídico de lavra d</w:t>
      </w:r>
      <w:r w:rsidR="00BA364E" w:rsidRPr="009277F7">
        <w:rPr>
          <w:rFonts w:ascii="Arial" w:hAnsi="Arial" w:cs="Arial"/>
          <w:sz w:val="32"/>
          <w:szCs w:val="32"/>
        </w:rPr>
        <w:t>o Prof. Dr.</w:t>
      </w:r>
      <w:r w:rsidR="00D106CA" w:rsidRPr="009277F7">
        <w:rPr>
          <w:rFonts w:ascii="Arial" w:hAnsi="Arial" w:cs="Arial"/>
          <w:sz w:val="32"/>
          <w:szCs w:val="32"/>
        </w:rPr>
        <w:t xml:space="preserve"> Georges Abboud,</w:t>
      </w:r>
      <w:r w:rsidR="009B3DD7">
        <w:rPr>
          <w:rFonts w:ascii="Arial" w:hAnsi="Arial" w:cs="Arial"/>
          <w:sz w:val="32"/>
          <w:szCs w:val="32"/>
        </w:rPr>
        <w:t xml:space="preserve"> mestre, doutor e livre-docente da PUC-SP</w:t>
      </w:r>
      <w:r w:rsidR="00646459">
        <w:rPr>
          <w:rFonts w:ascii="Arial" w:hAnsi="Arial" w:cs="Arial"/>
          <w:sz w:val="32"/>
          <w:szCs w:val="32"/>
        </w:rPr>
        <w:t>,</w:t>
      </w:r>
      <w:r w:rsidR="00D106CA" w:rsidRPr="009277F7">
        <w:rPr>
          <w:rFonts w:ascii="Arial" w:hAnsi="Arial" w:cs="Arial"/>
          <w:sz w:val="32"/>
          <w:szCs w:val="32"/>
        </w:rPr>
        <w:t xml:space="preserve"> todos apontando a economicidade, sinergia</w:t>
      </w:r>
      <w:r w:rsidR="00BA364E" w:rsidRPr="009277F7">
        <w:rPr>
          <w:rFonts w:ascii="Arial" w:hAnsi="Arial" w:cs="Arial"/>
          <w:sz w:val="32"/>
          <w:szCs w:val="32"/>
        </w:rPr>
        <w:t xml:space="preserve"> operacional</w:t>
      </w:r>
      <w:r w:rsidR="00D106CA" w:rsidRPr="009277F7">
        <w:rPr>
          <w:rFonts w:ascii="Arial" w:hAnsi="Arial" w:cs="Arial"/>
          <w:sz w:val="32"/>
          <w:szCs w:val="32"/>
        </w:rPr>
        <w:t xml:space="preserve"> e possibilidade jurídica para efetuar a modernização e serviços do parque </w:t>
      </w:r>
      <w:r w:rsidR="00D106CA" w:rsidRPr="009277F7">
        <w:rPr>
          <w:rFonts w:ascii="Arial" w:hAnsi="Arial" w:cs="Arial"/>
          <w:sz w:val="32"/>
          <w:szCs w:val="32"/>
        </w:rPr>
        <w:lastRenderedPageBreak/>
        <w:t>semafórico por meio d</w:t>
      </w:r>
      <w:r w:rsidR="00BA364E" w:rsidRPr="009277F7">
        <w:rPr>
          <w:rFonts w:ascii="Arial" w:hAnsi="Arial" w:cs="Arial"/>
          <w:sz w:val="32"/>
          <w:szCs w:val="32"/>
        </w:rPr>
        <w:t>e incorporação ao</w:t>
      </w:r>
      <w:r w:rsidR="00D106CA" w:rsidRPr="009277F7">
        <w:rPr>
          <w:rFonts w:ascii="Arial" w:hAnsi="Arial" w:cs="Arial"/>
          <w:sz w:val="32"/>
          <w:szCs w:val="32"/>
        </w:rPr>
        <w:t xml:space="preserve"> contrato de </w:t>
      </w:r>
      <w:r w:rsidR="00884533">
        <w:rPr>
          <w:rFonts w:ascii="Arial" w:hAnsi="Arial" w:cs="Arial"/>
          <w:sz w:val="32"/>
          <w:szCs w:val="32"/>
        </w:rPr>
        <w:t>C</w:t>
      </w:r>
      <w:r w:rsidR="00D106CA" w:rsidRPr="009277F7">
        <w:rPr>
          <w:rFonts w:ascii="Arial" w:hAnsi="Arial" w:cs="Arial"/>
          <w:sz w:val="32"/>
          <w:szCs w:val="32"/>
        </w:rPr>
        <w:t xml:space="preserve">oncessão </w:t>
      </w:r>
      <w:r w:rsidR="00884533">
        <w:rPr>
          <w:rFonts w:ascii="Arial" w:hAnsi="Arial" w:cs="Arial"/>
          <w:sz w:val="32"/>
          <w:szCs w:val="32"/>
        </w:rPr>
        <w:t>A</w:t>
      </w:r>
      <w:r w:rsidR="00D106CA" w:rsidRPr="009277F7">
        <w:rPr>
          <w:rFonts w:ascii="Arial" w:hAnsi="Arial" w:cs="Arial"/>
          <w:sz w:val="32"/>
          <w:szCs w:val="32"/>
        </w:rPr>
        <w:t>dministrativa n.º 003/SMSO/2018.</w:t>
      </w:r>
    </w:p>
    <w:p w14:paraId="2648AF93" w14:textId="01472B32" w:rsidR="00D85034" w:rsidRPr="009277F7" w:rsidRDefault="00D106CA" w:rsidP="009277F7">
      <w:pPr>
        <w:ind w:firstLine="1134"/>
        <w:jc w:val="both"/>
        <w:rPr>
          <w:rFonts w:ascii="Arial" w:hAnsi="Arial" w:cs="Arial"/>
          <w:sz w:val="32"/>
          <w:szCs w:val="32"/>
        </w:rPr>
      </w:pPr>
      <w:r w:rsidRPr="009277F7">
        <w:rPr>
          <w:rFonts w:ascii="Arial" w:hAnsi="Arial" w:cs="Arial"/>
          <w:sz w:val="32"/>
          <w:szCs w:val="32"/>
        </w:rPr>
        <w:t xml:space="preserve">Diante do </w:t>
      </w:r>
      <w:r w:rsidR="00206F2D">
        <w:rPr>
          <w:rFonts w:ascii="Arial" w:hAnsi="Arial" w:cs="Arial"/>
          <w:sz w:val="32"/>
          <w:szCs w:val="32"/>
        </w:rPr>
        <w:t>comunicado formulado</w:t>
      </w:r>
      <w:r w:rsidR="000E63E7" w:rsidRPr="009277F7">
        <w:rPr>
          <w:rFonts w:ascii="Arial" w:hAnsi="Arial" w:cs="Arial"/>
          <w:sz w:val="32"/>
          <w:szCs w:val="32"/>
        </w:rPr>
        <w:t xml:space="preserve">, </w:t>
      </w:r>
      <w:r w:rsidR="00206F2D">
        <w:rPr>
          <w:rFonts w:ascii="Arial" w:hAnsi="Arial" w:cs="Arial"/>
          <w:sz w:val="32"/>
          <w:szCs w:val="32"/>
        </w:rPr>
        <w:t>foi</w:t>
      </w:r>
      <w:r w:rsidR="00DF6768">
        <w:rPr>
          <w:rFonts w:ascii="Arial" w:hAnsi="Arial" w:cs="Arial"/>
          <w:sz w:val="32"/>
          <w:szCs w:val="32"/>
        </w:rPr>
        <w:t xml:space="preserve"> emitido</w:t>
      </w:r>
      <w:r w:rsidR="00206F2D">
        <w:rPr>
          <w:rFonts w:ascii="Arial" w:hAnsi="Arial" w:cs="Arial"/>
          <w:sz w:val="32"/>
          <w:szCs w:val="32"/>
        </w:rPr>
        <w:t xml:space="preserve"> </w:t>
      </w:r>
      <w:r w:rsidR="000E63E7" w:rsidRPr="009277F7">
        <w:rPr>
          <w:rFonts w:ascii="Arial" w:hAnsi="Arial" w:cs="Arial"/>
          <w:sz w:val="32"/>
          <w:szCs w:val="32"/>
        </w:rPr>
        <w:t xml:space="preserve">ofício ao Sr. </w:t>
      </w:r>
      <w:r w:rsidR="00D85034" w:rsidRPr="009277F7">
        <w:rPr>
          <w:rFonts w:ascii="Arial" w:hAnsi="Arial" w:cs="Arial"/>
          <w:sz w:val="32"/>
          <w:szCs w:val="32"/>
        </w:rPr>
        <w:t xml:space="preserve">Prefeito (doc. 5) </w:t>
      </w:r>
      <w:r w:rsidR="00226464" w:rsidRPr="009277F7">
        <w:rPr>
          <w:rFonts w:ascii="Arial" w:hAnsi="Arial" w:cs="Arial"/>
          <w:sz w:val="32"/>
          <w:szCs w:val="32"/>
        </w:rPr>
        <w:t xml:space="preserve">questionando, inicialmente, a forma de contratação da modernização da rede semafórica, </w:t>
      </w:r>
      <w:r w:rsidR="00EB0824" w:rsidRPr="009277F7">
        <w:rPr>
          <w:rFonts w:ascii="Arial" w:hAnsi="Arial" w:cs="Arial"/>
          <w:sz w:val="32"/>
          <w:szCs w:val="32"/>
        </w:rPr>
        <w:t xml:space="preserve">em especial quanto à existência de posicionamento sobre a matéria </w:t>
      </w:r>
      <w:r w:rsidR="00DF6768">
        <w:rPr>
          <w:rFonts w:ascii="Arial" w:hAnsi="Arial" w:cs="Arial"/>
          <w:sz w:val="32"/>
          <w:szCs w:val="32"/>
        </w:rPr>
        <w:t>por parte da</w:t>
      </w:r>
      <w:r w:rsidR="00EB0824" w:rsidRPr="009277F7">
        <w:rPr>
          <w:rFonts w:ascii="Arial" w:hAnsi="Arial" w:cs="Arial"/>
          <w:sz w:val="32"/>
          <w:szCs w:val="32"/>
        </w:rPr>
        <w:t xml:space="preserve"> Procuradoria Geral do Município e da Secretaria de Negócios Jurídicos</w:t>
      </w:r>
      <w:r w:rsidR="00226464" w:rsidRPr="009277F7">
        <w:rPr>
          <w:rFonts w:ascii="Arial" w:hAnsi="Arial" w:cs="Arial"/>
          <w:sz w:val="32"/>
          <w:szCs w:val="32"/>
        </w:rPr>
        <w:t xml:space="preserve">. </w:t>
      </w:r>
    </w:p>
    <w:p w14:paraId="4D846CAC" w14:textId="33DAC390" w:rsidR="00226464" w:rsidRPr="009277F7" w:rsidRDefault="00C364CB" w:rsidP="00990783">
      <w:pPr>
        <w:ind w:firstLine="1134"/>
        <w:jc w:val="both"/>
        <w:rPr>
          <w:rFonts w:ascii="Arial" w:hAnsi="Arial" w:cs="Arial"/>
          <w:sz w:val="32"/>
          <w:szCs w:val="32"/>
        </w:rPr>
      </w:pPr>
      <w:r w:rsidRPr="009277F7">
        <w:rPr>
          <w:rFonts w:ascii="Arial" w:hAnsi="Arial" w:cs="Arial"/>
          <w:sz w:val="32"/>
          <w:szCs w:val="32"/>
        </w:rPr>
        <w:t>Em primeira resposta</w:t>
      </w:r>
      <w:r w:rsidR="00264E58">
        <w:rPr>
          <w:rFonts w:ascii="Arial" w:hAnsi="Arial" w:cs="Arial"/>
          <w:sz w:val="32"/>
          <w:szCs w:val="32"/>
        </w:rPr>
        <w:t>,</w:t>
      </w:r>
      <w:r w:rsidRPr="009277F7">
        <w:rPr>
          <w:rFonts w:ascii="Arial" w:hAnsi="Arial" w:cs="Arial"/>
          <w:sz w:val="32"/>
          <w:szCs w:val="32"/>
        </w:rPr>
        <w:t xml:space="preserve"> a Origem indicou o processo SEI </w:t>
      </w:r>
      <w:r w:rsidR="00EB0824" w:rsidRPr="009277F7">
        <w:rPr>
          <w:rFonts w:ascii="Arial" w:hAnsi="Arial" w:cs="Arial"/>
          <w:sz w:val="32"/>
          <w:szCs w:val="32"/>
        </w:rPr>
        <w:t>em que foi apresentada</w:t>
      </w:r>
      <w:r w:rsidRPr="009277F7">
        <w:rPr>
          <w:rFonts w:ascii="Arial" w:hAnsi="Arial" w:cs="Arial"/>
          <w:sz w:val="32"/>
          <w:szCs w:val="32"/>
        </w:rPr>
        <w:t xml:space="preserve"> manifestação </w:t>
      </w:r>
      <w:r w:rsidR="00EB0824" w:rsidRPr="009277F7">
        <w:rPr>
          <w:rFonts w:ascii="Arial" w:hAnsi="Arial" w:cs="Arial"/>
          <w:sz w:val="32"/>
          <w:szCs w:val="32"/>
        </w:rPr>
        <w:t>da Procuradoria Geral do Município acerca d</w:t>
      </w:r>
      <w:r w:rsidRPr="009277F7">
        <w:rPr>
          <w:rFonts w:ascii="Arial" w:hAnsi="Arial" w:cs="Arial"/>
          <w:sz w:val="32"/>
          <w:szCs w:val="32"/>
        </w:rPr>
        <w:t>a necessidade de reequilíbrio econômico-financeiro</w:t>
      </w:r>
      <w:r w:rsidR="0085560C">
        <w:rPr>
          <w:rFonts w:ascii="Arial" w:hAnsi="Arial" w:cs="Arial"/>
          <w:sz w:val="32"/>
          <w:szCs w:val="32"/>
        </w:rPr>
        <w:t xml:space="preserve"> no contrato da PPP de Iluminação</w:t>
      </w:r>
      <w:r w:rsidRPr="009277F7">
        <w:rPr>
          <w:rFonts w:ascii="Arial" w:hAnsi="Arial" w:cs="Arial"/>
          <w:sz w:val="32"/>
          <w:szCs w:val="32"/>
        </w:rPr>
        <w:t>, sem adentrar ao mérito da questão posta</w:t>
      </w:r>
      <w:r w:rsidR="00096E29" w:rsidRPr="009277F7">
        <w:rPr>
          <w:rFonts w:ascii="Arial" w:hAnsi="Arial" w:cs="Arial"/>
          <w:sz w:val="32"/>
          <w:szCs w:val="32"/>
        </w:rPr>
        <w:t xml:space="preserve"> e</w:t>
      </w:r>
      <w:r w:rsidR="008A06AA" w:rsidRPr="009277F7">
        <w:rPr>
          <w:rFonts w:ascii="Arial" w:hAnsi="Arial" w:cs="Arial"/>
          <w:sz w:val="32"/>
          <w:szCs w:val="32"/>
        </w:rPr>
        <w:t>,</w:t>
      </w:r>
      <w:r w:rsidR="00096E29" w:rsidRPr="009277F7">
        <w:rPr>
          <w:rFonts w:ascii="Arial" w:hAnsi="Arial" w:cs="Arial"/>
          <w:sz w:val="32"/>
          <w:szCs w:val="32"/>
        </w:rPr>
        <w:t xml:space="preserve"> posteriormente</w:t>
      </w:r>
      <w:r w:rsidR="008A06AA" w:rsidRPr="009277F7">
        <w:rPr>
          <w:rFonts w:ascii="Arial" w:hAnsi="Arial" w:cs="Arial"/>
          <w:sz w:val="32"/>
          <w:szCs w:val="32"/>
        </w:rPr>
        <w:t>,</w:t>
      </w:r>
      <w:r w:rsidR="00096E29" w:rsidRPr="009277F7">
        <w:rPr>
          <w:rFonts w:ascii="Arial" w:hAnsi="Arial" w:cs="Arial"/>
          <w:sz w:val="32"/>
          <w:szCs w:val="32"/>
        </w:rPr>
        <w:t xml:space="preserve"> </w:t>
      </w:r>
      <w:r w:rsidR="008A06AA" w:rsidRPr="009277F7">
        <w:rPr>
          <w:rFonts w:ascii="Arial" w:hAnsi="Arial" w:cs="Arial"/>
          <w:sz w:val="32"/>
          <w:szCs w:val="32"/>
        </w:rPr>
        <w:t>indicou</w:t>
      </w:r>
      <w:r w:rsidR="00096E29" w:rsidRPr="009277F7">
        <w:rPr>
          <w:rFonts w:ascii="Arial" w:hAnsi="Arial" w:cs="Arial"/>
          <w:sz w:val="32"/>
          <w:szCs w:val="32"/>
        </w:rPr>
        <w:t xml:space="preserve"> o processo SEI 7410.2021/0003654-3</w:t>
      </w:r>
      <w:r w:rsidR="00FC1A0F">
        <w:rPr>
          <w:rFonts w:ascii="Arial" w:hAnsi="Arial" w:cs="Arial"/>
          <w:sz w:val="32"/>
          <w:szCs w:val="32"/>
        </w:rPr>
        <w:t xml:space="preserve"> </w:t>
      </w:r>
      <w:r w:rsidR="00096E29" w:rsidRPr="009277F7">
        <w:rPr>
          <w:rFonts w:ascii="Arial" w:hAnsi="Arial" w:cs="Arial"/>
          <w:sz w:val="32"/>
          <w:szCs w:val="32"/>
        </w:rPr>
        <w:t xml:space="preserve">como específico para tratar sobre os estudos </w:t>
      </w:r>
      <w:r w:rsidR="00990783">
        <w:rPr>
          <w:rFonts w:ascii="Arial" w:hAnsi="Arial" w:cs="Arial"/>
          <w:sz w:val="32"/>
          <w:szCs w:val="32"/>
        </w:rPr>
        <w:t>quanto à i</w:t>
      </w:r>
      <w:r w:rsidR="00990783" w:rsidRPr="00990783">
        <w:rPr>
          <w:rFonts w:ascii="Arial" w:hAnsi="Arial" w:cs="Arial"/>
          <w:sz w:val="32"/>
          <w:szCs w:val="32"/>
        </w:rPr>
        <w:t xml:space="preserve">nclusão </w:t>
      </w:r>
      <w:r w:rsidR="00A73BA0">
        <w:rPr>
          <w:rFonts w:ascii="Arial" w:hAnsi="Arial" w:cs="Arial"/>
          <w:sz w:val="32"/>
          <w:szCs w:val="32"/>
        </w:rPr>
        <w:t xml:space="preserve">dos serviços semafóricos </w:t>
      </w:r>
      <w:r w:rsidR="00990783" w:rsidRPr="00990783">
        <w:rPr>
          <w:rFonts w:ascii="Arial" w:hAnsi="Arial" w:cs="Arial"/>
          <w:sz w:val="32"/>
          <w:szCs w:val="32"/>
        </w:rPr>
        <w:t xml:space="preserve">no bojo </w:t>
      </w:r>
      <w:r w:rsidR="00A73BA0">
        <w:rPr>
          <w:rFonts w:ascii="Arial" w:hAnsi="Arial" w:cs="Arial"/>
          <w:sz w:val="32"/>
          <w:szCs w:val="32"/>
        </w:rPr>
        <w:t xml:space="preserve">da </w:t>
      </w:r>
      <w:r w:rsidR="00096E29" w:rsidRPr="009277F7">
        <w:rPr>
          <w:rFonts w:ascii="Arial" w:hAnsi="Arial" w:cs="Arial"/>
          <w:sz w:val="32"/>
          <w:szCs w:val="32"/>
        </w:rPr>
        <w:t>PPP da Iluminação Pública (doc.</w:t>
      </w:r>
      <w:r w:rsidR="002B66F9" w:rsidRPr="009277F7">
        <w:rPr>
          <w:rFonts w:ascii="Arial" w:hAnsi="Arial" w:cs="Arial"/>
          <w:sz w:val="32"/>
          <w:szCs w:val="32"/>
        </w:rPr>
        <w:t xml:space="preserve"> </w:t>
      </w:r>
      <w:r w:rsidR="00096E29" w:rsidRPr="009277F7">
        <w:rPr>
          <w:rFonts w:ascii="Arial" w:hAnsi="Arial" w:cs="Arial"/>
          <w:sz w:val="32"/>
          <w:szCs w:val="32"/>
        </w:rPr>
        <w:t>41).</w:t>
      </w:r>
    </w:p>
    <w:p w14:paraId="6C49ED41" w14:textId="07AEAC2D" w:rsidR="00C364CB" w:rsidRPr="009277F7" w:rsidRDefault="00C364CB" w:rsidP="009277F7">
      <w:pPr>
        <w:ind w:firstLine="1134"/>
        <w:jc w:val="both"/>
        <w:rPr>
          <w:rFonts w:ascii="Arial" w:hAnsi="Arial" w:cs="Arial"/>
          <w:sz w:val="32"/>
          <w:szCs w:val="32"/>
        </w:rPr>
      </w:pPr>
      <w:r w:rsidRPr="009277F7">
        <w:rPr>
          <w:rFonts w:ascii="Arial" w:hAnsi="Arial" w:cs="Arial"/>
          <w:sz w:val="32"/>
          <w:szCs w:val="32"/>
        </w:rPr>
        <w:t xml:space="preserve">Ante </w:t>
      </w:r>
      <w:r w:rsidR="002B66F9" w:rsidRPr="009277F7">
        <w:rPr>
          <w:rFonts w:ascii="Arial" w:hAnsi="Arial" w:cs="Arial"/>
          <w:sz w:val="32"/>
          <w:szCs w:val="32"/>
        </w:rPr>
        <w:t xml:space="preserve">o conjunto de informações até então colacionado aos autos, esta Relatoria </w:t>
      </w:r>
      <w:r w:rsidRPr="009277F7">
        <w:rPr>
          <w:rFonts w:ascii="Arial" w:hAnsi="Arial" w:cs="Arial"/>
          <w:sz w:val="32"/>
          <w:szCs w:val="32"/>
        </w:rPr>
        <w:t>emitiu novo ofício com</w:t>
      </w:r>
      <w:r w:rsidR="00630845">
        <w:rPr>
          <w:rFonts w:ascii="Arial" w:hAnsi="Arial" w:cs="Arial"/>
          <w:sz w:val="32"/>
          <w:szCs w:val="32"/>
        </w:rPr>
        <w:t xml:space="preserve"> um conjunto de </w:t>
      </w:r>
      <w:r w:rsidRPr="009277F7">
        <w:rPr>
          <w:rFonts w:ascii="Arial" w:hAnsi="Arial" w:cs="Arial"/>
          <w:sz w:val="32"/>
          <w:szCs w:val="32"/>
        </w:rPr>
        <w:t>questionamentos</w:t>
      </w:r>
      <w:r w:rsidR="00447F93" w:rsidRPr="009277F7">
        <w:rPr>
          <w:rFonts w:ascii="Arial" w:hAnsi="Arial" w:cs="Arial"/>
          <w:sz w:val="32"/>
          <w:szCs w:val="32"/>
        </w:rPr>
        <w:t xml:space="preserve"> (doc. 46)</w:t>
      </w:r>
      <w:r w:rsidR="000A2044">
        <w:rPr>
          <w:rFonts w:ascii="Arial" w:hAnsi="Arial" w:cs="Arial"/>
          <w:sz w:val="32"/>
          <w:szCs w:val="32"/>
        </w:rPr>
        <w:t>, com a finalidade</w:t>
      </w:r>
      <w:r w:rsidR="00B820A2">
        <w:rPr>
          <w:rFonts w:ascii="Arial" w:hAnsi="Arial" w:cs="Arial"/>
          <w:sz w:val="32"/>
          <w:szCs w:val="32"/>
        </w:rPr>
        <w:t xml:space="preserve"> de</w:t>
      </w:r>
      <w:r w:rsidRPr="009277F7">
        <w:rPr>
          <w:rFonts w:ascii="Arial" w:hAnsi="Arial" w:cs="Arial"/>
          <w:sz w:val="32"/>
          <w:szCs w:val="32"/>
        </w:rPr>
        <w:t xml:space="preserve"> que a Origem apresentasse resposta</w:t>
      </w:r>
      <w:r w:rsidR="00447F93" w:rsidRPr="009277F7">
        <w:rPr>
          <w:rFonts w:ascii="Arial" w:hAnsi="Arial" w:cs="Arial"/>
          <w:sz w:val="32"/>
          <w:szCs w:val="32"/>
        </w:rPr>
        <w:t>s</w:t>
      </w:r>
      <w:r w:rsidRPr="009277F7">
        <w:rPr>
          <w:rFonts w:ascii="Arial" w:hAnsi="Arial" w:cs="Arial"/>
          <w:sz w:val="32"/>
          <w:szCs w:val="32"/>
        </w:rPr>
        <w:t xml:space="preserve"> conclusivas </w:t>
      </w:r>
      <w:r w:rsidR="00B820A2">
        <w:rPr>
          <w:rFonts w:ascii="Arial" w:hAnsi="Arial" w:cs="Arial"/>
          <w:sz w:val="32"/>
          <w:szCs w:val="32"/>
        </w:rPr>
        <w:t>quanto</w:t>
      </w:r>
      <w:r w:rsidR="00842181">
        <w:rPr>
          <w:rFonts w:ascii="Arial" w:hAnsi="Arial" w:cs="Arial"/>
          <w:sz w:val="32"/>
          <w:szCs w:val="32"/>
        </w:rPr>
        <w:t xml:space="preserve"> </w:t>
      </w:r>
      <w:r w:rsidR="002532AD">
        <w:rPr>
          <w:rFonts w:ascii="Arial" w:hAnsi="Arial" w:cs="Arial"/>
          <w:sz w:val="32"/>
          <w:szCs w:val="32"/>
        </w:rPr>
        <w:t>aos requisitos estabelecidos no ordenamento jurídico</w:t>
      </w:r>
      <w:r w:rsidR="00B820A2">
        <w:rPr>
          <w:rFonts w:ascii="Arial" w:hAnsi="Arial" w:cs="Arial"/>
          <w:sz w:val="32"/>
          <w:szCs w:val="32"/>
        </w:rPr>
        <w:t xml:space="preserve"> em face de sua</w:t>
      </w:r>
      <w:r w:rsidR="002532AD">
        <w:rPr>
          <w:rFonts w:ascii="Arial" w:hAnsi="Arial" w:cs="Arial"/>
          <w:sz w:val="32"/>
          <w:szCs w:val="32"/>
        </w:rPr>
        <w:t xml:space="preserve"> </w:t>
      </w:r>
      <w:r w:rsidR="007524AD">
        <w:rPr>
          <w:rFonts w:ascii="Arial" w:hAnsi="Arial" w:cs="Arial"/>
          <w:sz w:val="32"/>
          <w:szCs w:val="32"/>
        </w:rPr>
        <w:t>pretensão</w:t>
      </w:r>
      <w:r w:rsidRPr="009277F7">
        <w:rPr>
          <w:rFonts w:ascii="Arial" w:hAnsi="Arial" w:cs="Arial"/>
          <w:sz w:val="32"/>
          <w:szCs w:val="32"/>
        </w:rPr>
        <w:t>, bem como</w:t>
      </w:r>
      <w:r w:rsidR="000546CE" w:rsidRPr="009277F7">
        <w:rPr>
          <w:rFonts w:ascii="Arial" w:hAnsi="Arial" w:cs="Arial"/>
          <w:sz w:val="32"/>
          <w:szCs w:val="32"/>
        </w:rPr>
        <w:t xml:space="preserve"> para que</w:t>
      </w:r>
      <w:r w:rsidRPr="009277F7">
        <w:rPr>
          <w:rFonts w:ascii="Arial" w:hAnsi="Arial" w:cs="Arial"/>
          <w:sz w:val="32"/>
          <w:szCs w:val="32"/>
        </w:rPr>
        <w:t xml:space="preserve"> juntasse aos</w:t>
      </w:r>
      <w:r w:rsidR="007524AD">
        <w:rPr>
          <w:rFonts w:ascii="Arial" w:hAnsi="Arial" w:cs="Arial"/>
          <w:sz w:val="32"/>
          <w:szCs w:val="32"/>
        </w:rPr>
        <w:t xml:space="preserve"> autos </w:t>
      </w:r>
      <w:r w:rsidR="00FC78F3">
        <w:rPr>
          <w:rFonts w:ascii="Arial" w:hAnsi="Arial" w:cs="Arial"/>
          <w:sz w:val="32"/>
          <w:szCs w:val="32"/>
        </w:rPr>
        <w:t xml:space="preserve">todos os elemento </w:t>
      </w:r>
      <w:r w:rsidRPr="009277F7">
        <w:rPr>
          <w:rFonts w:ascii="Arial" w:hAnsi="Arial" w:cs="Arial"/>
          <w:sz w:val="32"/>
          <w:szCs w:val="32"/>
        </w:rPr>
        <w:t xml:space="preserve">que lhe trouxeram substrato </w:t>
      </w:r>
      <w:r w:rsidR="00FC78F3">
        <w:rPr>
          <w:rFonts w:ascii="Arial" w:hAnsi="Arial" w:cs="Arial"/>
          <w:sz w:val="32"/>
          <w:szCs w:val="32"/>
        </w:rPr>
        <w:t>à escolha realizada</w:t>
      </w:r>
      <w:r w:rsidR="008B6904">
        <w:rPr>
          <w:rFonts w:ascii="Arial" w:hAnsi="Arial" w:cs="Arial"/>
          <w:sz w:val="32"/>
          <w:szCs w:val="32"/>
        </w:rPr>
        <w:t xml:space="preserve"> de incorporação dos serviços semafóricos </w:t>
      </w:r>
      <w:r w:rsidR="00961334">
        <w:rPr>
          <w:rFonts w:ascii="Arial" w:hAnsi="Arial" w:cs="Arial"/>
          <w:sz w:val="32"/>
          <w:szCs w:val="32"/>
        </w:rPr>
        <w:t>à</w:t>
      </w:r>
      <w:r w:rsidR="008B6904">
        <w:rPr>
          <w:rFonts w:ascii="Arial" w:hAnsi="Arial" w:cs="Arial"/>
          <w:sz w:val="32"/>
          <w:szCs w:val="32"/>
        </w:rPr>
        <w:t xml:space="preserve"> PPP de Iluminação</w:t>
      </w:r>
      <w:r w:rsidR="0054639B">
        <w:rPr>
          <w:rFonts w:ascii="Arial" w:hAnsi="Arial" w:cs="Arial"/>
          <w:sz w:val="32"/>
          <w:szCs w:val="32"/>
        </w:rPr>
        <w:t>.</w:t>
      </w:r>
    </w:p>
    <w:p w14:paraId="6B1FD098" w14:textId="51C35FA0" w:rsidR="001177C6" w:rsidRPr="009277F7" w:rsidRDefault="00447F93" w:rsidP="009277F7">
      <w:pPr>
        <w:ind w:firstLine="1134"/>
        <w:jc w:val="both"/>
        <w:rPr>
          <w:rFonts w:ascii="Arial" w:hAnsi="Arial" w:cs="Arial"/>
          <w:sz w:val="32"/>
          <w:szCs w:val="32"/>
        </w:rPr>
      </w:pPr>
      <w:r w:rsidRPr="009277F7">
        <w:rPr>
          <w:rFonts w:ascii="Arial" w:hAnsi="Arial" w:cs="Arial"/>
          <w:sz w:val="32"/>
          <w:szCs w:val="32"/>
        </w:rPr>
        <w:t xml:space="preserve">Seguiram-se diversos pedidos de dilação de prazo </w:t>
      </w:r>
      <w:r w:rsidR="00AF648D" w:rsidRPr="009277F7">
        <w:rPr>
          <w:rFonts w:ascii="Arial" w:hAnsi="Arial" w:cs="Arial"/>
          <w:sz w:val="32"/>
          <w:szCs w:val="32"/>
        </w:rPr>
        <w:t xml:space="preserve">da Origem, até que em </w:t>
      </w:r>
      <w:r w:rsidR="00B63061" w:rsidRPr="009277F7">
        <w:rPr>
          <w:rFonts w:ascii="Arial" w:hAnsi="Arial" w:cs="Arial"/>
          <w:sz w:val="32"/>
          <w:szCs w:val="32"/>
        </w:rPr>
        <w:t>24.06</w:t>
      </w:r>
      <w:r w:rsidR="0044052C">
        <w:rPr>
          <w:rFonts w:ascii="Arial" w:hAnsi="Arial" w:cs="Arial"/>
          <w:sz w:val="32"/>
          <w:szCs w:val="32"/>
        </w:rPr>
        <w:t>.</w:t>
      </w:r>
      <w:r w:rsidR="0044052C" w:rsidRPr="0054639B">
        <w:rPr>
          <w:rFonts w:ascii="Arial" w:hAnsi="Arial" w:cs="Arial"/>
          <w:sz w:val="32"/>
          <w:szCs w:val="32"/>
        </w:rPr>
        <w:t>2022</w:t>
      </w:r>
      <w:r w:rsidR="00B63061" w:rsidRPr="009277F7">
        <w:rPr>
          <w:rFonts w:ascii="Arial" w:hAnsi="Arial" w:cs="Arial"/>
          <w:sz w:val="32"/>
          <w:szCs w:val="32"/>
        </w:rPr>
        <w:t xml:space="preserve"> foram apresentadas manifestações elaboradas pela Companhia de Enge</w:t>
      </w:r>
      <w:r w:rsidR="001177C6" w:rsidRPr="009277F7">
        <w:rPr>
          <w:rFonts w:ascii="Arial" w:hAnsi="Arial" w:cs="Arial"/>
          <w:sz w:val="32"/>
          <w:szCs w:val="32"/>
        </w:rPr>
        <w:t>n</w:t>
      </w:r>
      <w:r w:rsidR="00B63061" w:rsidRPr="009277F7">
        <w:rPr>
          <w:rFonts w:ascii="Arial" w:hAnsi="Arial" w:cs="Arial"/>
          <w:sz w:val="32"/>
          <w:szCs w:val="32"/>
        </w:rPr>
        <w:t xml:space="preserve">haria de Tráfego – CET e pela SP Regula, seguindo-se, entretanto, novo pedido de dilação por parte da SP Regula (doc. 97), </w:t>
      </w:r>
      <w:r w:rsidR="001177C6" w:rsidRPr="009277F7">
        <w:rPr>
          <w:rFonts w:ascii="Arial" w:hAnsi="Arial" w:cs="Arial"/>
          <w:sz w:val="32"/>
          <w:szCs w:val="32"/>
        </w:rPr>
        <w:t xml:space="preserve">nos termos do quanto requerido pela assessoria </w:t>
      </w:r>
      <w:r w:rsidR="001177C6" w:rsidRPr="009277F7">
        <w:rPr>
          <w:rFonts w:ascii="Arial" w:hAnsi="Arial" w:cs="Arial"/>
          <w:sz w:val="32"/>
          <w:szCs w:val="32"/>
        </w:rPr>
        <w:lastRenderedPageBreak/>
        <w:t>jurídica daquela agência reguladora, com o seguinte fundamento:</w:t>
      </w:r>
    </w:p>
    <w:p w14:paraId="3E924C55" w14:textId="77777777" w:rsidR="001177C6" w:rsidRPr="009277F7" w:rsidRDefault="001177C6" w:rsidP="001177C6">
      <w:pPr>
        <w:ind w:left="2268"/>
        <w:jc w:val="both"/>
        <w:rPr>
          <w:rFonts w:ascii="Arial" w:hAnsi="Arial" w:cs="Arial"/>
          <w:i/>
          <w:sz w:val="32"/>
          <w:szCs w:val="32"/>
        </w:rPr>
      </w:pPr>
      <w:r w:rsidRPr="009277F7">
        <w:rPr>
          <w:rFonts w:ascii="Arial" w:hAnsi="Arial" w:cs="Arial"/>
          <w:i/>
          <w:sz w:val="32"/>
          <w:szCs w:val="32"/>
        </w:rPr>
        <w:t>No que diz respeito à matéria suscitada, tem-se que foi instaurado processo administrativo após provocação da Companhia de Engenharia de Tráfego - CET, para avaliação e estudo por parte desta Agência Reguladora. Tal processo encontra-se, ainda, em fase instrutória.</w:t>
      </w:r>
    </w:p>
    <w:p w14:paraId="0D872F20" w14:textId="77777777" w:rsidR="001177C6" w:rsidRPr="009277F7" w:rsidRDefault="001177C6" w:rsidP="001177C6">
      <w:pPr>
        <w:ind w:left="2268"/>
        <w:jc w:val="both"/>
        <w:rPr>
          <w:rFonts w:ascii="Arial" w:hAnsi="Arial" w:cs="Arial"/>
          <w:i/>
          <w:sz w:val="32"/>
          <w:szCs w:val="32"/>
        </w:rPr>
      </w:pPr>
      <w:r w:rsidRPr="009277F7">
        <w:rPr>
          <w:rFonts w:ascii="Arial" w:hAnsi="Arial" w:cs="Arial"/>
          <w:i/>
          <w:sz w:val="32"/>
          <w:szCs w:val="32"/>
        </w:rPr>
        <w:t>Em razão disso, solicita-se ao E. Tribunal de Contas do Município a prorrogação do prazo concedido em 15 (quinze) dias úteis. Desse modo, acredita-se ser possível encerrar a fase instrutória e, consequentemente, responder de forma satisfatória os questionamentos desta Corte de Contas.</w:t>
      </w:r>
    </w:p>
    <w:p w14:paraId="162794BA" w14:textId="77777777" w:rsidR="001177C6" w:rsidRPr="009277F7" w:rsidRDefault="001177C6" w:rsidP="009277F7">
      <w:pPr>
        <w:ind w:firstLine="1134"/>
        <w:jc w:val="both"/>
        <w:rPr>
          <w:rFonts w:ascii="Arial" w:hAnsi="Arial" w:cs="Arial"/>
          <w:sz w:val="32"/>
          <w:szCs w:val="32"/>
        </w:rPr>
      </w:pPr>
      <w:r w:rsidRPr="009277F7">
        <w:rPr>
          <w:rFonts w:ascii="Arial" w:hAnsi="Arial" w:cs="Arial"/>
          <w:sz w:val="32"/>
          <w:szCs w:val="32"/>
        </w:rPr>
        <w:t>Deferida a dilação requerida, seguiu-se, finalmente, a manifestação conclusiva da SP Regula</w:t>
      </w:r>
      <w:r w:rsidR="00C80B9F" w:rsidRPr="009277F7">
        <w:rPr>
          <w:rFonts w:ascii="Arial" w:hAnsi="Arial" w:cs="Arial"/>
          <w:sz w:val="32"/>
          <w:szCs w:val="32"/>
        </w:rPr>
        <w:t xml:space="preserve"> na data de 11.07.202</w:t>
      </w:r>
      <w:r w:rsidR="009A4D37" w:rsidRPr="009277F7">
        <w:rPr>
          <w:rFonts w:ascii="Arial" w:hAnsi="Arial" w:cs="Arial"/>
          <w:sz w:val="32"/>
          <w:szCs w:val="32"/>
        </w:rPr>
        <w:t>2</w:t>
      </w:r>
      <w:r w:rsidR="00C80B9F" w:rsidRPr="009277F7">
        <w:rPr>
          <w:rFonts w:ascii="Arial" w:hAnsi="Arial" w:cs="Arial"/>
          <w:sz w:val="32"/>
          <w:szCs w:val="32"/>
        </w:rPr>
        <w:t>.</w:t>
      </w:r>
    </w:p>
    <w:p w14:paraId="07815C98" w14:textId="30D7D7CE" w:rsidR="00C80B9F" w:rsidRPr="009277F7" w:rsidRDefault="00C80B9F" w:rsidP="009277F7">
      <w:pPr>
        <w:ind w:firstLine="1134"/>
        <w:jc w:val="both"/>
        <w:rPr>
          <w:rFonts w:ascii="Arial" w:hAnsi="Arial" w:cs="Arial"/>
          <w:sz w:val="32"/>
          <w:szCs w:val="32"/>
        </w:rPr>
      </w:pPr>
      <w:r w:rsidRPr="009277F7">
        <w:rPr>
          <w:rFonts w:ascii="Arial" w:hAnsi="Arial" w:cs="Arial"/>
          <w:sz w:val="32"/>
          <w:szCs w:val="32"/>
        </w:rPr>
        <w:t>Cumpre registrar que nesse ínterim esta Corte de Contas</w:t>
      </w:r>
      <w:r w:rsidR="009A4D37" w:rsidRPr="009277F7">
        <w:rPr>
          <w:rFonts w:ascii="Arial" w:hAnsi="Arial" w:cs="Arial"/>
          <w:sz w:val="32"/>
          <w:szCs w:val="32"/>
        </w:rPr>
        <w:t>, em 03.02.2022,</w:t>
      </w:r>
      <w:r w:rsidRPr="009277F7">
        <w:rPr>
          <w:rFonts w:ascii="Arial" w:hAnsi="Arial" w:cs="Arial"/>
          <w:sz w:val="32"/>
          <w:szCs w:val="32"/>
        </w:rPr>
        <w:t xml:space="preserve"> expediu Alerta à Administração para </w:t>
      </w:r>
      <w:r w:rsidR="007535C1">
        <w:rPr>
          <w:rFonts w:ascii="Arial" w:hAnsi="Arial" w:cs="Arial"/>
          <w:sz w:val="32"/>
          <w:szCs w:val="32"/>
        </w:rPr>
        <w:t xml:space="preserve">que se </w:t>
      </w:r>
      <w:r w:rsidR="009A4D37" w:rsidRPr="009277F7">
        <w:rPr>
          <w:rFonts w:ascii="Arial" w:hAnsi="Arial" w:cs="Arial"/>
          <w:sz w:val="32"/>
          <w:szCs w:val="32"/>
        </w:rPr>
        <w:t>abstivesse de concretizar a assinatura de Termo Aditivo para inclusão dos serviços de manutenção e modernização do sistema semafórico no bojo do Contrato nº 03/SMSO/2018</w:t>
      </w:r>
      <w:r w:rsidR="00F8584C">
        <w:rPr>
          <w:rFonts w:ascii="Arial" w:hAnsi="Arial" w:cs="Arial"/>
          <w:sz w:val="32"/>
          <w:szCs w:val="32"/>
        </w:rPr>
        <w:t>,</w:t>
      </w:r>
      <w:r w:rsidR="009A4D37" w:rsidRPr="009277F7">
        <w:rPr>
          <w:rFonts w:ascii="Arial" w:hAnsi="Arial" w:cs="Arial"/>
          <w:sz w:val="32"/>
          <w:szCs w:val="32"/>
        </w:rPr>
        <w:t xml:space="preserve"> até que </w:t>
      </w:r>
      <w:r w:rsidR="009A4D37" w:rsidRPr="00F8584C">
        <w:rPr>
          <w:rFonts w:ascii="Arial" w:hAnsi="Arial" w:cs="Arial"/>
          <w:sz w:val="32"/>
          <w:szCs w:val="32"/>
        </w:rPr>
        <w:t>houve</w:t>
      </w:r>
      <w:r w:rsidR="007D4DBA" w:rsidRPr="00F8584C">
        <w:rPr>
          <w:rFonts w:ascii="Arial" w:hAnsi="Arial" w:cs="Arial"/>
          <w:sz w:val="32"/>
          <w:szCs w:val="32"/>
        </w:rPr>
        <w:t>sse</w:t>
      </w:r>
      <w:r w:rsidR="009A4D37" w:rsidRPr="009277F7">
        <w:rPr>
          <w:rFonts w:ascii="Arial" w:hAnsi="Arial" w:cs="Arial"/>
          <w:sz w:val="32"/>
          <w:szCs w:val="32"/>
        </w:rPr>
        <w:t xml:space="preserve"> manifestação desta Corte de Contas sobre a matéria</w:t>
      </w:r>
      <w:r w:rsidRPr="009277F7">
        <w:rPr>
          <w:rFonts w:ascii="Arial" w:hAnsi="Arial" w:cs="Arial"/>
          <w:sz w:val="32"/>
          <w:szCs w:val="32"/>
        </w:rPr>
        <w:t>, sendo posteriormente</w:t>
      </w:r>
      <w:r w:rsidR="009A4D37" w:rsidRPr="009277F7">
        <w:rPr>
          <w:rFonts w:ascii="Arial" w:hAnsi="Arial" w:cs="Arial"/>
          <w:sz w:val="32"/>
          <w:szCs w:val="32"/>
        </w:rPr>
        <w:t>, em 24.06.2022,</w:t>
      </w:r>
      <w:r w:rsidRPr="009277F7">
        <w:rPr>
          <w:rFonts w:ascii="Arial" w:hAnsi="Arial" w:cs="Arial"/>
          <w:sz w:val="32"/>
          <w:szCs w:val="32"/>
        </w:rPr>
        <w:t xml:space="preserve"> convertido em determinação, conforme </w:t>
      </w:r>
      <w:r w:rsidR="007829FA" w:rsidRPr="009277F7">
        <w:rPr>
          <w:rFonts w:ascii="Arial" w:hAnsi="Arial" w:cs="Arial"/>
          <w:sz w:val="32"/>
          <w:szCs w:val="32"/>
        </w:rPr>
        <w:t xml:space="preserve">despacho exarado </w:t>
      </w:r>
      <w:r w:rsidR="009A4D37" w:rsidRPr="009277F7">
        <w:rPr>
          <w:rFonts w:ascii="Arial" w:hAnsi="Arial" w:cs="Arial"/>
          <w:sz w:val="32"/>
          <w:szCs w:val="32"/>
        </w:rPr>
        <w:t>à peça 93 dos autos.</w:t>
      </w:r>
    </w:p>
    <w:p w14:paraId="08C9EF77" w14:textId="4E1BF0E1" w:rsidR="009A4D37" w:rsidRPr="009277F7" w:rsidRDefault="009A4D37" w:rsidP="009277F7">
      <w:pPr>
        <w:ind w:firstLine="1134"/>
        <w:jc w:val="both"/>
        <w:rPr>
          <w:rFonts w:ascii="Arial" w:hAnsi="Arial" w:cs="Arial"/>
          <w:sz w:val="32"/>
          <w:szCs w:val="32"/>
        </w:rPr>
      </w:pPr>
      <w:r w:rsidRPr="009277F7">
        <w:rPr>
          <w:rFonts w:ascii="Arial" w:hAnsi="Arial" w:cs="Arial"/>
          <w:sz w:val="32"/>
          <w:szCs w:val="32"/>
        </w:rPr>
        <w:t xml:space="preserve">Feito esse breve </w:t>
      </w:r>
      <w:r w:rsidR="00476430" w:rsidRPr="009277F7">
        <w:rPr>
          <w:rFonts w:ascii="Arial" w:hAnsi="Arial" w:cs="Arial"/>
          <w:sz w:val="32"/>
          <w:szCs w:val="32"/>
        </w:rPr>
        <w:t xml:space="preserve">e sucinto relato da tramitação da matéria no âmbito desta Corte de Contas, que evidencia, inclusive, que </w:t>
      </w:r>
      <w:r w:rsidR="00A6393B" w:rsidRPr="009277F7">
        <w:rPr>
          <w:rFonts w:ascii="Arial" w:hAnsi="Arial" w:cs="Arial"/>
          <w:sz w:val="32"/>
          <w:szCs w:val="32"/>
        </w:rPr>
        <w:t xml:space="preserve">eventual demora para definição da matéria não pode ser </w:t>
      </w:r>
      <w:r w:rsidR="00403227">
        <w:rPr>
          <w:rFonts w:ascii="Arial" w:hAnsi="Arial" w:cs="Arial"/>
          <w:sz w:val="32"/>
          <w:szCs w:val="32"/>
        </w:rPr>
        <w:t>atribuída</w:t>
      </w:r>
      <w:r w:rsidR="00A6393B" w:rsidRPr="009277F7">
        <w:rPr>
          <w:rFonts w:ascii="Arial" w:hAnsi="Arial" w:cs="Arial"/>
          <w:sz w:val="32"/>
          <w:szCs w:val="32"/>
        </w:rPr>
        <w:t xml:space="preserve"> a este Tribunal, </w:t>
      </w:r>
      <w:r w:rsidR="00CE3A0E">
        <w:rPr>
          <w:rFonts w:ascii="Arial" w:hAnsi="Arial" w:cs="Arial"/>
          <w:sz w:val="32"/>
          <w:szCs w:val="32"/>
        </w:rPr>
        <w:t xml:space="preserve">o qual </w:t>
      </w:r>
      <w:r w:rsidR="00A6393B" w:rsidRPr="009277F7">
        <w:rPr>
          <w:rFonts w:ascii="Arial" w:hAnsi="Arial" w:cs="Arial"/>
          <w:sz w:val="32"/>
          <w:szCs w:val="32"/>
        </w:rPr>
        <w:t xml:space="preserve">envidou todos os esforços por parte de sua </w:t>
      </w:r>
      <w:r w:rsidR="00CE3A0E">
        <w:rPr>
          <w:rFonts w:ascii="Arial" w:hAnsi="Arial" w:cs="Arial"/>
          <w:sz w:val="32"/>
          <w:szCs w:val="32"/>
        </w:rPr>
        <w:t>E</w:t>
      </w:r>
      <w:r w:rsidR="00A6393B" w:rsidRPr="009277F7">
        <w:rPr>
          <w:rFonts w:ascii="Arial" w:hAnsi="Arial" w:cs="Arial"/>
          <w:sz w:val="32"/>
          <w:szCs w:val="32"/>
        </w:rPr>
        <w:t xml:space="preserve">quipe </w:t>
      </w:r>
      <w:r w:rsidR="00CE3A0E">
        <w:rPr>
          <w:rFonts w:ascii="Arial" w:hAnsi="Arial" w:cs="Arial"/>
          <w:sz w:val="32"/>
          <w:szCs w:val="32"/>
        </w:rPr>
        <w:t>T</w:t>
      </w:r>
      <w:r w:rsidR="00A6393B" w:rsidRPr="009277F7">
        <w:rPr>
          <w:rFonts w:ascii="Arial" w:hAnsi="Arial" w:cs="Arial"/>
          <w:sz w:val="32"/>
          <w:szCs w:val="32"/>
        </w:rPr>
        <w:t xml:space="preserve">écnica e também </w:t>
      </w:r>
      <w:r w:rsidR="00A6393B" w:rsidRPr="009277F7">
        <w:rPr>
          <w:rFonts w:ascii="Arial" w:hAnsi="Arial" w:cs="Arial"/>
          <w:sz w:val="32"/>
          <w:szCs w:val="32"/>
        </w:rPr>
        <w:lastRenderedPageBreak/>
        <w:t xml:space="preserve">desta Relatoria para análise em tempo hábil do amplo conjunto de informações e de questões técnicas advindas da instrução processual no âmbito </w:t>
      </w:r>
      <w:r w:rsidR="00F1028A" w:rsidRPr="009277F7">
        <w:rPr>
          <w:rFonts w:ascii="Arial" w:hAnsi="Arial" w:cs="Arial"/>
          <w:sz w:val="32"/>
          <w:szCs w:val="32"/>
        </w:rPr>
        <w:t xml:space="preserve">interno </w:t>
      </w:r>
      <w:r w:rsidR="00A6393B" w:rsidRPr="009277F7">
        <w:rPr>
          <w:rFonts w:ascii="Arial" w:hAnsi="Arial" w:cs="Arial"/>
          <w:sz w:val="32"/>
          <w:szCs w:val="32"/>
        </w:rPr>
        <w:t>da municipalidade a qual, repise-se, apenas no último dia 11 de julho</w:t>
      </w:r>
      <w:r w:rsidR="005661DE">
        <w:rPr>
          <w:rFonts w:ascii="Arial" w:hAnsi="Arial" w:cs="Arial"/>
          <w:sz w:val="32"/>
          <w:szCs w:val="32"/>
        </w:rPr>
        <w:t>,</w:t>
      </w:r>
      <w:r w:rsidR="00A6393B" w:rsidRPr="009277F7">
        <w:rPr>
          <w:rFonts w:ascii="Arial" w:hAnsi="Arial" w:cs="Arial"/>
          <w:sz w:val="32"/>
          <w:szCs w:val="32"/>
        </w:rPr>
        <w:t xml:space="preserve"> encaminhou a esta Corte sua posição conclusiva acerca do pleito de inclusão dos serviço</w:t>
      </w:r>
      <w:r w:rsidR="005661DE">
        <w:rPr>
          <w:rFonts w:ascii="Arial" w:hAnsi="Arial" w:cs="Arial"/>
          <w:sz w:val="32"/>
          <w:szCs w:val="32"/>
        </w:rPr>
        <w:t>s</w:t>
      </w:r>
      <w:r w:rsidR="00A6393B" w:rsidRPr="009277F7">
        <w:rPr>
          <w:rFonts w:ascii="Arial" w:hAnsi="Arial" w:cs="Arial"/>
          <w:sz w:val="32"/>
          <w:szCs w:val="32"/>
        </w:rPr>
        <w:t xml:space="preserve"> semafóricos à PPP de Iluminação.</w:t>
      </w:r>
    </w:p>
    <w:p w14:paraId="45F45D34" w14:textId="3CE89578" w:rsidR="00C9524E" w:rsidRPr="009277F7" w:rsidRDefault="007B4303" w:rsidP="009277F7">
      <w:pPr>
        <w:ind w:firstLine="1134"/>
        <w:jc w:val="both"/>
        <w:rPr>
          <w:rFonts w:ascii="Arial" w:hAnsi="Arial" w:cs="Arial"/>
          <w:sz w:val="32"/>
          <w:szCs w:val="32"/>
        </w:rPr>
      </w:pPr>
      <w:r w:rsidRPr="009277F7">
        <w:rPr>
          <w:rFonts w:ascii="Arial" w:hAnsi="Arial" w:cs="Arial"/>
          <w:sz w:val="32"/>
          <w:szCs w:val="32"/>
        </w:rPr>
        <w:t xml:space="preserve">Registro, ainda, que a licitação específica inicialmente planejada para a contratação dos serviços semafóricos </w:t>
      </w:r>
      <w:r w:rsidR="00484558" w:rsidRPr="006C14A7">
        <w:rPr>
          <w:rFonts w:ascii="Arial" w:hAnsi="Arial" w:cs="Arial"/>
          <w:sz w:val="32"/>
          <w:szCs w:val="32"/>
        </w:rPr>
        <w:t>encontra</w:t>
      </w:r>
      <w:r w:rsidR="00473595" w:rsidRPr="006C14A7">
        <w:rPr>
          <w:rFonts w:ascii="Arial" w:hAnsi="Arial" w:cs="Arial"/>
          <w:sz w:val="32"/>
          <w:szCs w:val="32"/>
        </w:rPr>
        <w:t>-se</w:t>
      </w:r>
      <w:r w:rsidR="00484558" w:rsidRPr="006C14A7">
        <w:rPr>
          <w:rFonts w:ascii="Arial" w:hAnsi="Arial" w:cs="Arial"/>
          <w:sz w:val="32"/>
          <w:szCs w:val="32"/>
        </w:rPr>
        <w:t xml:space="preserve"> </w:t>
      </w:r>
      <w:r w:rsidR="00484558" w:rsidRPr="009277F7">
        <w:rPr>
          <w:rFonts w:ascii="Arial" w:hAnsi="Arial" w:cs="Arial"/>
          <w:sz w:val="32"/>
          <w:szCs w:val="32"/>
        </w:rPr>
        <w:t xml:space="preserve">suspensa </w:t>
      </w:r>
      <w:r w:rsidR="00484558" w:rsidRPr="009277F7">
        <w:rPr>
          <w:rFonts w:ascii="Arial" w:hAnsi="Arial" w:cs="Arial"/>
          <w:i/>
          <w:sz w:val="32"/>
          <w:szCs w:val="32"/>
        </w:rPr>
        <w:t>sine</w:t>
      </w:r>
      <w:r w:rsidR="0072581F">
        <w:rPr>
          <w:rFonts w:ascii="Arial" w:hAnsi="Arial" w:cs="Arial"/>
          <w:i/>
          <w:sz w:val="32"/>
          <w:szCs w:val="32"/>
        </w:rPr>
        <w:t xml:space="preserve"> </w:t>
      </w:r>
      <w:r w:rsidR="00484558" w:rsidRPr="009277F7">
        <w:rPr>
          <w:rFonts w:ascii="Arial" w:hAnsi="Arial" w:cs="Arial"/>
          <w:i/>
          <w:sz w:val="32"/>
          <w:szCs w:val="32"/>
        </w:rPr>
        <w:t xml:space="preserve">die </w:t>
      </w:r>
      <w:r w:rsidR="00484558" w:rsidRPr="009277F7">
        <w:rPr>
          <w:rFonts w:ascii="Arial" w:hAnsi="Arial" w:cs="Arial"/>
          <w:sz w:val="32"/>
          <w:szCs w:val="32"/>
        </w:rPr>
        <w:t xml:space="preserve">pela Administração desde </w:t>
      </w:r>
      <w:r w:rsidR="00C9524E" w:rsidRPr="009277F7">
        <w:rPr>
          <w:rFonts w:ascii="Arial" w:hAnsi="Arial" w:cs="Arial"/>
          <w:sz w:val="32"/>
          <w:szCs w:val="32"/>
        </w:rPr>
        <w:t xml:space="preserve">janeiro de 2020, oportunidade em que a CET suspendeu a abertura do certame para reanalisar e adequar </w:t>
      </w:r>
      <w:r w:rsidR="00296AF1">
        <w:rPr>
          <w:rFonts w:ascii="Arial" w:hAnsi="Arial" w:cs="Arial"/>
          <w:sz w:val="32"/>
          <w:szCs w:val="32"/>
        </w:rPr>
        <w:t>o</w:t>
      </w:r>
      <w:r w:rsidR="00C9524E" w:rsidRPr="009277F7">
        <w:rPr>
          <w:rFonts w:ascii="Arial" w:hAnsi="Arial" w:cs="Arial"/>
          <w:sz w:val="32"/>
          <w:szCs w:val="32"/>
        </w:rPr>
        <w:t xml:space="preserve"> edital, tendo em vista os apontamentos feitos pela Equipe Técnica deste Tribunal, ao elaborar o Relatório Preliminar de Acompanhamento de Edital. </w:t>
      </w:r>
    </w:p>
    <w:p w14:paraId="4AA87DD7" w14:textId="1949DCA0" w:rsidR="007B4303" w:rsidRPr="009277F7" w:rsidRDefault="00C9524E" w:rsidP="009277F7">
      <w:pPr>
        <w:ind w:firstLine="1134"/>
        <w:jc w:val="both"/>
        <w:rPr>
          <w:rFonts w:ascii="Arial" w:hAnsi="Arial" w:cs="Arial"/>
          <w:sz w:val="32"/>
          <w:szCs w:val="32"/>
        </w:rPr>
      </w:pPr>
      <w:r w:rsidRPr="009277F7">
        <w:rPr>
          <w:rFonts w:ascii="Arial" w:hAnsi="Arial" w:cs="Arial"/>
          <w:sz w:val="32"/>
          <w:szCs w:val="32"/>
        </w:rPr>
        <w:t xml:space="preserve">Destaco, ainda, </w:t>
      </w:r>
      <w:r w:rsidR="00484558" w:rsidRPr="009277F7">
        <w:rPr>
          <w:rFonts w:ascii="Arial" w:hAnsi="Arial" w:cs="Arial"/>
          <w:sz w:val="32"/>
          <w:szCs w:val="32"/>
        </w:rPr>
        <w:t xml:space="preserve">que esta Corte de Contas, por meio de despacho proferido pelo Conselheiro Domingos Dissei </w:t>
      </w:r>
      <w:r w:rsidR="005274C6" w:rsidRPr="002E0974">
        <w:rPr>
          <w:rFonts w:ascii="Arial" w:hAnsi="Arial" w:cs="Arial"/>
          <w:sz w:val="32"/>
          <w:szCs w:val="32"/>
        </w:rPr>
        <w:t>em</w:t>
      </w:r>
      <w:r w:rsidR="00484558" w:rsidRPr="002E0974">
        <w:rPr>
          <w:rFonts w:ascii="Arial" w:hAnsi="Arial" w:cs="Arial"/>
          <w:sz w:val="32"/>
          <w:szCs w:val="32"/>
        </w:rPr>
        <w:t xml:space="preserve"> </w:t>
      </w:r>
      <w:r w:rsidRPr="002E0974">
        <w:rPr>
          <w:rFonts w:ascii="Arial" w:hAnsi="Arial" w:cs="Arial"/>
          <w:sz w:val="32"/>
          <w:szCs w:val="32"/>
        </w:rPr>
        <w:t>22.02.2</w:t>
      </w:r>
      <w:r w:rsidR="005274C6" w:rsidRPr="002E0974">
        <w:rPr>
          <w:rFonts w:ascii="Arial" w:hAnsi="Arial" w:cs="Arial"/>
          <w:sz w:val="32"/>
          <w:szCs w:val="32"/>
        </w:rPr>
        <w:t>02</w:t>
      </w:r>
      <w:r w:rsidRPr="002E0974">
        <w:rPr>
          <w:rFonts w:ascii="Arial" w:hAnsi="Arial" w:cs="Arial"/>
          <w:sz w:val="32"/>
          <w:szCs w:val="32"/>
        </w:rPr>
        <w:t>2</w:t>
      </w:r>
      <w:r w:rsidR="00484558" w:rsidRPr="002E0974">
        <w:rPr>
          <w:rFonts w:ascii="Arial" w:hAnsi="Arial" w:cs="Arial"/>
          <w:sz w:val="32"/>
          <w:szCs w:val="32"/>
        </w:rPr>
        <w:t xml:space="preserve"> </w:t>
      </w:r>
      <w:r w:rsidR="00484558" w:rsidRPr="009277F7">
        <w:rPr>
          <w:rFonts w:ascii="Arial" w:hAnsi="Arial" w:cs="Arial"/>
          <w:sz w:val="32"/>
          <w:szCs w:val="32"/>
        </w:rPr>
        <w:t xml:space="preserve">já havia se posicionado pela continuidade do certame, feitos os ajustes propostos pelo Conselheiro Relator, opção que não foi seguida pela administração, tendo em vista sua conclusão </w:t>
      </w:r>
      <w:r w:rsidR="00494B60">
        <w:rPr>
          <w:rFonts w:ascii="Arial" w:hAnsi="Arial" w:cs="Arial"/>
          <w:sz w:val="32"/>
          <w:szCs w:val="32"/>
        </w:rPr>
        <w:t>quanto</w:t>
      </w:r>
      <w:r w:rsidR="000B1C31">
        <w:rPr>
          <w:rFonts w:ascii="Arial" w:hAnsi="Arial" w:cs="Arial"/>
          <w:sz w:val="32"/>
          <w:szCs w:val="32"/>
        </w:rPr>
        <w:t xml:space="preserve"> à</w:t>
      </w:r>
      <w:r w:rsidR="00484558" w:rsidRPr="009277F7">
        <w:rPr>
          <w:rFonts w:ascii="Arial" w:hAnsi="Arial" w:cs="Arial"/>
          <w:sz w:val="32"/>
          <w:szCs w:val="32"/>
        </w:rPr>
        <w:t xml:space="preserve"> viabilidade de inclusão dos serviços semafóricos ao contrato da PPP de Iluminação.</w:t>
      </w:r>
    </w:p>
    <w:p w14:paraId="05F101C7" w14:textId="31DF8E01" w:rsidR="001742AC" w:rsidRPr="009277F7" w:rsidRDefault="001742AC" w:rsidP="009277F7">
      <w:pPr>
        <w:pStyle w:val="NormalWeb"/>
        <w:shd w:val="clear" w:color="auto" w:fill="FFFFFF"/>
        <w:spacing w:before="0" w:beforeAutospacing="0" w:after="150" w:afterAutospacing="0"/>
        <w:ind w:firstLine="1134"/>
        <w:jc w:val="both"/>
        <w:rPr>
          <w:rFonts w:ascii="Arial" w:eastAsiaTheme="minorHAnsi" w:hAnsi="Arial" w:cs="Arial"/>
          <w:sz w:val="32"/>
          <w:szCs w:val="32"/>
          <w:lang w:eastAsia="en-US"/>
        </w:rPr>
      </w:pPr>
      <w:r w:rsidRPr="009277F7">
        <w:rPr>
          <w:rFonts w:ascii="Arial" w:eastAsiaTheme="minorHAnsi" w:hAnsi="Arial" w:cs="Arial"/>
          <w:sz w:val="32"/>
          <w:szCs w:val="32"/>
          <w:lang w:eastAsia="en-US"/>
        </w:rPr>
        <w:t xml:space="preserve">No caso específico do parque semafórico </w:t>
      </w:r>
      <w:r w:rsidR="00D675C9">
        <w:rPr>
          <w:rFonts w:ascii="Arial" w:eastAsiaTheme="minorHAnsi" w:hAnsi="Arial" w:cs="Arial"/>
          <w:sz w:val="32"/>
          <w:szCs w:val="32"/>
          <w:lang w:eastAsia="en-US"/>
        </w:rPr>
        <w:t>d</w:t>
      </w:r>
      <w:r w:rsidRPr="009277F7">
        <w:rPr>
          <w:rFonts w:ascii="Arial" w:eastAsiaTheme="minorHAnsi" w:hAnsi="Arial" w:cs="Arial"/>
          <w:sz w:val="32"/>
          <w:szCs w:val="32"/>
          <w:lang w:eastAsia="en-US"/>
        </w:rPr>
        <w:t xml:space="preserve">a cidade, além </w:t>
      </w:r>
      <w:r w:rsidR="00D675C9" w:rsidRPr="000B1C31">
        <w:rPr>
          <w:rFonts w:ascii="Arial" w:eastAsiaTheme="minorHAnsi" w:hAnsi="Arial" w:cs="Arial"/>
          <w:sz w:val="32"/>
          <w:szCs w:val="32"/>
          <w:lang w:eastAsia="en-US"/>
        </w:rPr>
        <w:t>da</w:t>
      </w:r>
      <w:r w:rsidR="00D675C9">
        <w:rPr>
          <w:rFonts w:ascii="Arial" w:eastAsiaTheme="minorHAnsi" w:hAnsi="Arial" w:cs="Arial"/>
          <w:sz w:val="32"/>
          <w:szCs w:val="32"/>
          <w:lang w:eastAsia="en-US"/>
        </w:rPr>
        <w:t xml:space="preserve"> </w:t>
      </w:r>
      <w:r w:rsidRPr="009277F7">
        <w:rPr>
          <w:rFonts w:ascii="Arial" w:eastAsiaTheme="minorHAnsi" w:hAnsi="Arial" w:cs="Arial"/>
          <w:sz w:val="32"/>
          <w:szCs w:val="32"/>
          <w:lang w:eastAsia="en-US"/>
        </w:rPr>
        <w:t xml:space="preserve">suspensão do procedimento licitatório iniciado em 2019 pela própria </w:t>
      </w:r>
      <w:r w:rsidR="00D675C9">
        <w:rPr>
          <w:rFonts w:ascii="Arial" w:eastAsiaTheme="minorHAnsi" w:hAnsi="Arial" w:cs="Arial"/>
          <w:sz w:val="32"/>
          <w:szCs w:val="32"/>
          <w:lang w:eastAsia="en-US"/>
        </w:rPr>
        <w:t>A</w:t>
      </w:r>
      <w:r w:rsidRPr="009277F7">
        <w:rPr>
          <w:rFonts w:ascii="Arial" w:eastAsiaTheme="minorHAnsi" w:hAnsi="Arial" w:cs="Arial"/>
          <w:sz w:val="32"/>
          <w:szCs w:val="32"/>
          <w:lang w:eastAsia="en-US"/>
        </w:rPr>
        <w:t xml:space="preserve">dministração, é nítido que o sistema de semáforos na cidade vem se deteriorando ao longo dos últimos anos, não cabendo a este Tribunal de Contas o ônus </w:t>
      </w:r>
      <w:r w:rsidR="0086302B">
        <w:rPr>
          <w:rFonts w:ascii="Arial" w:eastAsiaTheme="minorHAnsi" w:hAnsi="Arial" w:cs="Arial"/>
          <w:sz w:val="32"/>
          <w:szCs w:val="32"/>
          <w:lang w:eastAsia="en-US"/>
        </w:rPr>
        <w:t>pela</w:t>
      </w:r>
      <w:r w:rsidRPr="009277F7">
        <w:rPr>
          <w:rFonts w:ascii="Arial" w:eastAsiaTheme="minorHAnsi" w:hAnsi="Arial" w:cs="Arial"/>
          <w:sz w:val="32"/>
          <w:szCs w:val="32"/>
          <w:lang w:eastAsia="en-US"/>
        </w:rPr>
        <w:t xml:space="preserve"> verdadeira situação calamitosa que se implantou na cidade nas últimas semanas. Inspeção realizada pela Auditoria, ainda em 2019, cujas conclusões foram enviadas à época à Administração, já apontava um longo rol de deficiências nos serviços de manutenção dos semáforos no município, registrando, dentre outros problemas, que </w:t>
      </w:r>
      <w:r w:rsidRPr="009277F7">
        <w:rPr>
          <w:rFonts w:ascii="Arial" w:eastAsiaTheme="minorHAnsi" w:hAnsi="Arial" w:cs="Arial"/>
          <w:i/>
          <w:sz w:val="32"/>
          <w:szCs w:val="32"/>
          <w:lang w:eastAsia="en-US"/>
        </w:rPr>
        <w:t xml:space="preserve">“A </w:t>
      </w:r>
      <w:r w:rsidRPr="009277F7">
        <w:rPr>
          <w:rFonts w:ascii="Arial" w:eastAsiaTheme="minorHAnsi" w:hAnsi="Arial" w:cs="Arial"/>
          <w:i/>
          <w:sz w:val="32"/>
          <w:szCs w:val="32"/>
          <w:lang w:eastAsia="en-US"/>
        </w:rPr>
        <w:lastRenderedPageBreak/>
        <w:t>ausência de manutenção preventiva do parque semafórico pela CET é responsável por parcela significativa das falhas semafóricas ocorridas no período”</w:t>
      </w:r>
      <w:r w:rsidRPr="009277F7">
        <w:rPr>
          <w:rFonts w:ascii="Arial" w:eastAsiaTheme="minorHAnsi" w:hAnsi="Arial" w:cs="Arial"/>
          <w:sz w:val="32"/>
          <w:szCs w:val="32"/>
          <w:lang w:eastAsia="en-US"/>
        </w:rPr>
        <w:t>.</w:t>
      </w:r>
    </w:p>
    <w:p w14:paraId="09DDEFE3" w14:textId="6C6C1B4D" w:rsidR="00B52B90" w:rsidRPr="009277F7" w:rsidRDefault="00B52B90" w:rsidP="009277F7">
      <w:pPr>
        <w:pStyle w:val="NormalWeb"/>
        <w:shd w:val="clear" w:color="auto" w:fill="FFFFFF"/>
        <w:spacing w:after="150"/>
        <w:ind w:firstLine="1134"/>
        <w:jc w:val="both"/>
        <w:rPr>
          <w:rFonts w:ascii="Arial" w:eastAsiaTheme="minorHAnsi" w:hAnsi="Arial" w:cs="Arial"/>
          <w:sz w:val="32"/>
          <w:szCs w:val="32"/>
          <w:lang w:eastAsia="en-US"/>
        </w:rPr>
      </w:pPr>
      <w:r w:rsidRPr="009277F7">
        <w:rPr>
          <w:rFonts w:ascii="Arial" w:eastAsiaTheme="minorHAnsi" w:hAnsi="Arial" w:cs="Arial"/>
          <w:sz w:val="32"/>
          <w:szCs w:val="32"/>
          <w:lang w:eastAsia="en-US"/>
        </w:rPr>
        <w:t xml:space="preserve">Ademais, atualmente os serviços de manutenção dos semáforos são prestados por meio de 3 contratos, </w:t>
      </w:r>
      <w:r w:rsidR="00216C13">
        <w:rPr>
          <w:rFonts w:ascii="Arial" w:eastAsiaTheme="minorHAnsi" w:hAnsi="Arial" w:cs="Arial"/>
          <w:sz w:val="32"/>
          <w:szCs w:val="32"/>
          <w:lang w:eastAsia="en-US"/>
        </w:rPr>
        <w:t>a seguir</w:t>
      </w:r>
      <w:r w:rsidRPr="009277F7">
        <w:rPr>
          <w:rFonts w:ascii="Arial" w:eastAsiaTheme="minorHAnsi" w:hAnsi="Arial" w:cs="Arial"/>
          <w:sz w:val="32"/>
          <w:szCs w:val="32"/>
          <w:lang w:eastAsia="en-US"/>
        </w:rPr>
        <w:t xml:space="preserve"> relacionados, celebrados pela CET com o CONSÓRCIO MCS INTELIGENTE; ARC COMÉRCIO CONSTRUÇÃO E ADMIN. DE SERVIÇOS LTDA e CONSÓRCIO SEMÁFORO PAULISTANO, que se encontram em plena vigência:</w:t>
      </w:r>
    </w:p>
    <w:p w14:paraId="22487A9C" w14:textId="77777777" w:rsidR="00B52B90" w:rsidRPr="009277F7" w:rsidRDefault="00B52B90" w:rsidP="00B52B90">
      <w:pPr>
        <w:pStyle w:val="NormalWeb"/>
        <w:shd w:val="clear" w:color="auto" w:fill="FFFFFF"/>
        <w:spacing w:after="150"/>
        <w:jc w:val="both"/>
        <w:rPr>
          <w:rFonts w:ascii="Arial" w:eastAsiaTheme="minorHAnsi" w:hAnsi="Arial" w:cs="Arial"/>
          <w:sz w:val="32"/>
          <w:szCs w:val="32"/>
          <w:lang w:eastAsia="en-US"/>
        </w:rPr>
      </w:pPr>
      <w:r w:rsidRPr="009277F7">
        <w:rPr>
          <w:rFonts w:ascii="Arial" w:eastAsiaTheme="minorHAnsi" w:hAnsi="Arial" w:cs="Arial"/>
          <w:sz w:val="32"/>
          <w:szCs w:val="32"/>
          <w:lang w:eastAsia="en-US"/>
        </w:rPr>
        <w:tab/>
        <w:t>- Contrato nº 062/2017 – vigente até 17.08.2022</w:t>
      </w:r>
    </w:p>
    <w:p w14:paraId="51946D6A" w14:textId="77777777" w:rsidR="00B52B90" w:rsidRPr="009277F7" w:rsidRDefault="00B52B90" w:rsidP="00B52B90">
      <w:pPr>
        <w:pStyle w:val="NormalWeb"/>
        <w:shd w:val="clear" w:color="auto" w:fill="FFFFFF"/>
        <w:spacing w:after="150"/>
        <w:jc w:val="both"/>
        <w:rPr>
          <w:rFonts w:ascii="Arial" w:eastAsiaTheme="minorHAnsi" w:hAnsi="Arial" w:cs="Arial"/>
          <w:sz w:val="32"/>
          <w:szCs w:val="32"/>
          <w:lang w:eastAsia="en-US"/>
        </w:rPr>
      </w:pPr>
      <w:r w:rsidRPr="009277F7">
        <w:rPr>
          <w:rFonts w:ascii="Arial" w:eastAsiaTheme="minorHAnsi" w:hAnsi="Arial" w:cs="Arial"/>
          <w:sz w:val="32"/>
          <w:szCs w:val="32"/>
          <w:lang w:eastAsia="en-US"/>
        </w:rPr>
        <w:tab/>
        <w:t>- Contrato nº 098/2018 – vigente até 05.09.2022</w:t>
      </w:r>
    </w:p>
    <w:p w14:paraId="463664EF" w14:textId="77777777" w:rsidR="00B52B90" w:rsidRPr="009277F7" w:rsidRDefault="00B52B90" w:rsidP="009277F7">
      <w:pPr>
        <w:pStyle w:val="NormalWeb"/>
        <w:shd w:val="clear" w:color="auto" w:fill="FFFFFF"/>
        <w:spacing w:after="150"/>
        <w:ind w:firstLine="708"/>
        <w:jc w:val="both"/>
        <w:rPr>
          <w:rFonts w:ascii="Arial" w:eastAsiaTheme="minorHAnsi" w:hAnsi="Arial" w:cs="Arial"/>
          <w:sz w:val="32"/>
          <w:szCs w:val="32"/>
          <w:lang w:eastAsia="en-US"/>
        </w:rPr>
      </w:pPr>
      <w:r w:rsidRPr="009277F7">
        <w:rPr>
          <w:rFonts w:ascii="Arial" w:eastAsiaTheme="minorHAnsi" w:hAnsi="Arial" w:cs="Arial"/>
          <w:sz w:val="32"/>
          <w:szCs w:val="32"/>
          <w:lang w:eastAsia="en-US"/>
        </w:rPr>
        <w:t>- Contrato nº 099/2018 – vigente até 11.09.2022</w:t>
      </w:r>
    </w:p>
    <w:p w14:paraId="171D4E03" w14:textId="6399BC60" w:rsidR="00B52B90" w:rsidRPr="009277F7" w:rsidRDefault="00B52B90" w:rsidP="009277F7">
      <w:pPr>
        <w:pStyle w:val="NormalWeb"/>
        <w:shd w:val="clear" w:color="auto" w:fill="FFFFFF"/>
        <w:spacing w:after="150"/>
        <w:ind w:firstLine="1134"/>
        <w:jc w:val="both"/>
        <w:rPr>
          <w:rFonts w:ascii="Arial" w:eastAsiaTheme="minorHAnsi" w:hAnsi="Arial" w:cs="Arial"/>
          <w:sz w:val="32"/>
          <w:szCs w:val="32"/>
          <w:lang w:eastAsia="en-US"/>
        </w:rPr>
      </w:pPr>
      <w:r w:rsidRPr="009277F7">
        <w:rPr>
          <w:rFonts w:ascii="Arial" w:eastAsiaTheme="minorHAnsi" w:hAnsi="Arial" w:cs="Arial"/>
          <w:sz w:val="32"/>
          <w:szCs w:val="32"/>
          <w:lang w:eastAsia="en-US"/>
        </w:rPr>
        <w:t>É fundamental destacar que a Prefeitura de São Paulo continua pagando pela manutenção dos serviços semafóricos. Assim, todos os instrumentos legais sempre estiveram à disposição da Administração para a manutenção dos atuais semáforos instalados na cidade,</w:t>
      </w:r>
      <w:r w:rsidR="009D11B9">
        <w:rPr>
          <w:rFonts w:ascii="Arial" w:eastAsiaTheme="minorHAnsi" w:hAnsi="Arial" w:cs="Arial"/>
          <w:sz w:val="32"/>
          <w:szCs w:val="32"/>
          <w:lang w:eastAsia="en-US"/>
        </w:rPr>
        <w:t xml:space="preserve"> sendo</w:t>
      </w:r>
      <w:r w:rsidRPr="009277F7">
        <w:rPr>
          <w:rFonts w:ascii="Arial" w:eastAsiaTheme="minorHAnsi" w:hAnsi="Arial" w:cs="Arial"/>
          <w:sz w:val="32"/>
          <w:szCs w:val="32"/>
          <w:lang w:eastAsia="en-US"/>
        </w:rPr>
        <w:t xml:space="preserve"> injustificável atribuir a esta Corte qualquer </w:t>
      </w:r>
      <w:r w:rsidR="004A3B1D" w:rsidRPr="009277F7">
        <w:rPr>
          <w:rFonts w:ascii="Arial" w:eastAsiaTheme="minorHAnsi" w:hAnsi="Arial" w:cs="Arial"/>
          <w:sz w:val="32"/>
          <w:szCs w:val="32"/>
          <w:lang w:eastAsia="en-US"/>
        </w:rPr>
        <w:t>responsabilidade pelo</w:t>
      </w:r>
      <w:r w:rsidRPr="009277F7">
        <w:rPr>
          <w:rFonts w:ascii="Arial" w:eastAsiaTheme="minorHAnsi" w:hAnsi="Arial" w:cs="Arial"/>
          <w:sz w:val="32"/>
          <w:szCs w:val="32"/>
          <w:lang w:eastAsia="en-US"/>
        </w:rPr>
        <w:t xml:space="preserve"> caos em que se encontra o parque semafórico no Município nos últimos dias.</w:t>
      </w:r>
    </w:p>
    <w:p w14:paraId="5A469883" w14:textId="24BB64F8" w:rsidR="00F1028A" w:rsidRPr="009277F7" w:rsidRDefault="00F1028A" w:rsidP="009277F7">
      <w:pPr>
        <w:ind w:firstLine="1134"/>
        <w:jc w:val="both"/>
        <w:rPr>
          <w:rFonts w:ascii="Arial" w:hAnsi="Arial" w:cs="Arial"/>
          <w:sz w:val="32"/>
          <w:szCs w:val="32"/>
        </w:rPr>
      </w:pPr>
      <w:r w:rsidRPr="009277F7">
        <w:rPr>
          <w:rFonts w:ascii="Arial" w:hAnsi="Arial" w:cs="Arial"/>
          <w:sz w:val="32"/>
          <w:szCs w:val="32"/>
        </w:rPr>
        <w:t xml:space="preserve">Registrada </w:t>
      </w:r>
      <w:r w:rsidR="00DB3C60" w:rsidRPr="009277F7">
        <w:rPr>
          <w:rFonts w:ascii="Arial" w:hAnsi="Arial" w:cs="Arial"/>
          <w:sz w:val="32"/>
          <w:szCs w:val="32"/>
        </w:rPr>
        <w:t>essa</w:t>
      </w:r>
      <w:r w:rsidRPr="009277F7">
        <w:rPr>
          <w:rFonts w:ascii="Arial" w:hAnsi="Arial" w:cs="Arial"/>
          <w:sz w:val="32"/>
          <w:szCs w:val="32"/>
        </w:rPr>
        <w:t xml:space="preserve"> constatação, passo a enfrentar o mérito da pretensão da Administração </w:t>
      </w:r>
      <w:r w:rsidR="009D11B9">
        <w:rPr>
          <w:rFonts w:ascii="Arial" w:hAnsi="Arial" w:cs="Arial"/>
          <w:sz w:val="32"/>
          <w:szCs w:val="32"/>
        </w:rPr>
        <w:t>examinada</w:t>
      </w:r>
      <w:r w:rsidRPr="009277F7">
        <w:rPr>
          <w:rFonts w:ascii="Arial" w:hAnsi="Arial" w:cs="Arial"/>
          <w:sz w:val="32"/>
          <w:szCs w:val="32"/>
        </w:rPr>
        <w:t xml:space="preserve"> nestes autos.</w:t>
      </w:r>
    </w:p>
    <w:p w14:paraId="6155C81B" w14:textId="72F4F4AA" w:rsidR="00DB3C60" w:rsidRPr="009277F7" w:rsidRDefault="00DB3C60" w:rsidP="009277F7">
      <w:pPr>
        <w:ind w:firstLine="1134"/>
        <w:jc w:val="both"/>
        <w:rPr>
          <w:rFonts w:ascii="Arial" w:hAnsi="Arial" w:cs="Arial"/>
          <w:sz w:val="32"/>
          <w:szCs w:val="32"/>
        </w:rPr>
      </w:pPr>
      <w:r w:rsidRPr="009277F7">
        <w:rPr>
          <w:rFonts w:ascii="Arial" w:hAnsi="Arial" w:cs="Arial"/>
          <w:sz w:val="32"/>
          <w:szCs w:val="32"/>
        </w:rPr>
        <w:t>Com a finalidade de melhor ilustrar os apontamentos a serem debatidos, iniciarei registrando uma breve análise histórica da questão semafórica na cidade e, após, apresentarei os questionamentos que foram dirigidos à Administração com um resumo da resposta da Origem para cada um deles, acrescido dos apontamentos apresentad</w:t>
      </w:r>
      <w:r w:rsidR="009C57C2">
        <w:rPr>
          <w:rFonts w:ascii="Arial" w:hAnsi="Arial" w:cs="Arial"/>
          <w:sz w:val="32"/>
          <w:szCs w:val="32"/>
        </w:rPr>
        <w:t>o</w:t>
      </w:r>
      <w:r w:rsidRPr="009277F7">
        <w:rPr>
          <w:rFonts w:ascii="Arial" w:hAnsi="Arial" w:cs="Arial"/>
          <w:sz w:val="32"/>
          <w:szCs w:val="32"/>
        </w:rPr>
        <w:t xml:space="preserve">s pelas </w:t>
      </w:r>
      <w:r w:rsidR="009C57C2">
        <w:rPr>
          <w:rFonts w:ascii="Arial" w:hAnsi="Arial" w:cs="Arial"/>
          <w:sz w:val="32"/>
          <w:szCs w:val="32"/>
        </w:rPr>
        <w:t>E</w:t>
      </w:r>
      <w:r w:rsidRPr="009277F7">
        <w:rPr>
          <w:rFonts w:ascii="Arial" w:hAnsi="Arial" w:cs="Arial"/>
          <w:sz w:val="32"/>
          <w:szCs w:val="32"/>
        </w:rPr>
        <w:t xml:space="preserve">quipes de </w:t>
      </w:r>
      <w:r w:rsidR="009C57C2">
        <w:rPr>
          <w:rFonts w:ascii="Arial" w:hAnsi="Arial" w:cs="Arial"/>
          <w:sz w:val="32"/>
          <w:szCs w:val="32"/>
        </w:rPr>
        <w:t>A</w:t>
      </w:r>
      <w:r w:rsidRPr="009277F7">
        <w:rPr>
          <w:rFonts w:ascii="Arial" w:hAnsi="Arial" w:cs="Arial"/>
          <w:sz w:val="32"/>
          <w:szCs w:val="32"/>
        </w:rPr>
        <w:t>poio desta Corte de Contas e, ao final, meu posicionamento sobre o objeto ora analisado.</w:t>
      </w:r>
    </w:p>
    <w:p w14:paraId="32EAB0F1" w14:textId="77777777" w:rsidR="00F1028A" w:rsidRPr="009277F7" w:rsidRDefault="00F1028A" w:rsidP="009A4D37">
      <w:pPr>
        <w:jc w:val="both"/>
        <w:rPr>
          <w:rFonts w:ascii="Arial" w:hAnsi="Arial" w:cs="Arial"/>
          <w:sz w:val="32"/>
          <w:szCs w:val="32"/>
        </w:rPr>
      </w:pPr>
    </w:p>
    <w:p w14:paraId="7092CE10" w14:textId="77777777" w:rsidR="00F1028A" w:rsidRPr="009277F7" w:rsidRDefault="00F1028A" w:rsidP="009A4D37">
      <w:pPr>
        <w:jc w:val="both"/>
        <w:rPr>
          <w:rFonts w:ascii="Arial" w:hAnsi="Arial" w:cs="Arial"/>
          <w:b/>
          <w:sz w:val="32"/>
          <w:szCs w:val="32"/>
        </w:rPr>
      </w:pPr>
      <w:r w:rsidRPr="009277F7">
        <w:rPr>
          <w:rFonts w:ascii="Arial" w:hAnsi="Arial" w:cs="Arial"/>
          <w:b/>
          <w:sz w:val="32"/>
          <w:szCs w:val="32"/>
        </w:rPr>
        <w:t>1 – A questão semafórica no Município de São Paulo</w:t>
      </w:r>
    </w:p>
    <w:p w14:paraId="4AF824B6" w14:textId="77777777" w:rsidR="00F1028A" w:rsidRPr="009277F7" w:rsidRDefault="00F1028A" w:rsidP="009A4D37">
      <w:pPr>
        <w:jc w:val="both"/>
        <w:rPr>
          <w:rFonts w:ascii="Arial" w:hAnsi="Arial" w:cs="Arial"/>
          <w:sz w:val="32"/>
          <w:szCs w:val="32"/>
        </w:rPr>
      </w:pPr>
    </w:p>
    <w:p w14:paraId="2CA53F59" w14:textId="77777777" w:rsidR="00DB3C60" w:rsidRPr="009277F7" w:rsidRDefault="00484558" w:rsidP="009277F7">
      <w:pPr>
        <w:ind w:firstLine="1134"/>
        <w:jc w:val="both"/>
        <w:rPr>
          <w:rFonts w:ascii="Arial" w:hAnsi="Arial" w:cs="Arial"/>
          <w:sz w:val="32"/>
          <w:szCs w:val="32"/>
        </w:rPr>
      </w:pPr>
      <w:r w:rsidRPr="009277F7">
        <w:rPr>
          <w:rFonts w:ascii="Arial" w:hAnsi="Arial" w:cs="Arial"/>
          <w:sz w:val="32"/>
          <w:szCs w:val="32"/>
        </w:rPr>
        <w:t>Em 1913 inventou-se o primeiro semáforo elétrico na cidade de Cleveland nos Estados Unidos da América (utilizando as cores vermelho e verde, e uma buzina para anúncio da mudança de cor). Esta invenção deu origem ao semáforo de três cores, que se propagou a partir dos Estados Unidos no começo da década de 1920, sendo hoje largamente empregado em todo o mundo.</w:t>
      </w:r>
    </w:p>
    <w:p w14:paraId="5A7BFC04" w14:textId="77777777" w:rsidR="00484558" w:rsidRPr="009277F7" w:rsidRDefault="00484558" w:rsidP="009277F7">
      <w:pPr>
        <w:ind w:firstLine="1134"/>
        <w:jc w:val="both"/>
        <w:rPr>
          <w:rFonts w:ascii="Arial" w:hAnsi="Arial" w:cs="Arial"/>
          <w:sz w:val="32"/>
          <w:szCs w:val="32"/>
        </w:rPr>
      </w:pPr>
      <w:r w:rsidRPr="009277F7">
        <w:rPr>
          <w:rFonts w:ascii="Arial" w:hAnsi="Arial" w:cs="Arial"/>
          <w:sz w:val="32"/>
          <w:szCs w:val="32"/>
        </w:rPr>
        <w:t>Em São Paulo, não se tem notícia oficial sobre as primeiras aplicações de semáforos, restando apenas registros jornalísticos afirmando que o primeiro semáforo fora introduzido na capital paulista apenas em 1935 pelo Departamento de Serviço de Trânsito (DST).</w:t>
      </w:r>
    </w:p>
    <w:p w14:paraId="6180189E" w14:textId="44562599" w:rsidR="00484558" w:rsidRPr="009277F7" w:rsidRDefault="00484558" w:rsidP="009277F7">
      <w:pPr>
        <w:ind w:firstLine="1134"/>
        <w:jc w:val="both"/>
        <w:rPr>
          <w:rFonts w:ascii="Arial" w:hAnsi="Arial" w:cs="Arial"/>
          <w:sz w:val="32"/>
          <w:szCs w:val="32"/>
        </w:rPr>
      </w:pPr>
      <w:r w:rsidRPr="009277F7">
        <w:rPr>
          <w:rFonts w:ascii="Arial" w:hAnsi="Arial" w:cs="Arial"/>
          <w:sz w:val="32"/>
          <w:szCs w:val="32"/>
        </w:rPr>
        <w:t xml:space="preserve">A evolução do controle semafórico desenvolveu-se por linhas definidas pelas experiências de outros países, principalmente na década de </w:t>
      </w:r>
      <w:r w:rsidR="00423EB6">
        <w:rPr>
          <w:rFonts w:ascii="Arial" w:hAnsi="Arial" w:cs="Arial"/>
          <w:sz w:val="32"/>
          <w:szCs w:val="32"/>
        </w:rPr>
        <w:t>19</w:t>
      </w:r>
      <w:r w:rsidRPr="009277F7">
        <w:rPr>
          <w:rFonts w:ascii="Arial" w:hAnsi="Arial" w:cs="Arial"/>
          <w:sz w:val="32"/>
          <w:szCs w:val="32"/>
        </w:rPr>
        <w:t>70 e</w:t>
      </w:r>
      <w:r w:rsidR="00423EB6">
        <w:rPr>
          <w:rFonts w:ascii="Arial" w:hAnsi="Arial" w:cs="Arial"/>
          <w:sz w:val="32"/>
          <w:szCs w:val="32"/>
        </w:rPr>
        <w:t>,</w:t>
      </w:r>
      <w:r w:rsidRPr="009277F7">
        <w:rPr>
          <w:rFonts w:ascii="Arial" w:hAnsi="Arial" w:cs="Arial"/>
          <w:sz w:val="32"/>
          <w:szCs w:val="32"/>
        </w:rPr>
        <w:t xml:space="preserve"> em grande parte</w:t>
      </w:r>
      <w:r w:rsidR="00423EB6">
        <w:rPr>
          <w:rFonts w:ascii="Arial" w:hAnsi="Arial" w:cs="Arial"/>
          <w:sz w:val="32"/>
          <w:szCs w:val="32"/>
        </w:rPr>
        <w:t>,</w:t>
      </w:r>
      <w:r w:rsidRPr="009277F7">
        <w:rPr>
          <w:rFonts w:ascii="Arial" w:hAnsi="Arial" w:cs="Arial"/>
          <w:sz w:val="32"/>
          <w:szCs w:val="32"/>
        </w:rPr>
        <w:t xml:space="preserve"> liderada pelas iniciativas tomadas pela Companhia de Engenharia de Tráfego do Município de São Paulo (CET), iniciando-se a operação com controladores eletromecânicos, os quais foram, gradativamente, substituídos por controladores eletrônicos.</w:t>
      </w:r>
    </w:p>
    <w:p w14:paraId="0A3D4636" w14:textId="77777777" w:rsidR="00484558" w:rsidRPr="009277F7" w:rsidRDefault="00484558" w:rsidP="009277F7">
      <w:pPr>
        <w:ind w:firstLine="1134"/>
        <w:jc w:val="both"/>
        <w:rPr>
          <w:rFonts w:ascii="Arial" w:hAnsi="Arial" w:cs="Arial"/>
          <w:sz w:val="32"/>
          <w:szCs w:val="32"/>
        </w:rPr>
      </w:pPr>
      <w:r w:rsidRPr="009277F7">
        <w:rPr>
          <w:rFonts w:ascii="Arial" w:hAnsi="Arial" w:cs="Arial"/>
          <w:sz w:val="32"/>
          <w:szCs w:val="32"/>
        </w:rPr>
        <w:t>Outro passo tecnológico ocorreu com o advento dos sistemas de controle centralizado, que culminou com a implantação do Projeto SEMCO (Semáforos Coordenados) no ano de 1980, utilizando controladores eletrônicos importados e computadores para o gerenciamento dos semáforos.</w:t>
      </w:r>
    </w:p>
    <w:p w14:paraId="6BBB2CCD" w14:textId="77777777" w:rsidR="009F2A7A" w:rsidRPr="009277F7" w:rsidRDefault="009F2A7A" w:rsidP="009277F7">
      <w:pPr>
        <w:ind w:firstLine="1134"/>
        <w:jc w:val="both"/>
        <w:rPr>
          <w:rFonts w:ascii="Arial" w:hAnsi="Arial" w:cs="Arial"/>
          <w:sz w:val="32"/>
          <w:szCs w:val="32"/>
        </w:rPr>
      </w:pPr>
      <w:r w:rsidRPr="009277F7">
        <w:rPr>
          <w:rFonts w:ascii="Arial" w:hAnsi="Arial" w:cs="Arial"/>
          <w:sz w:val="32"/>
          <w:szCs w:val="32"/>
        </w:rPr>
        <w:t>Antes do SEMCO</w:t>
      </w:r>
      <w:r w:rsidR="00097881">
        <w:rPr>
          <w:rFonts w:ascii="Arial" w:hAnsi="Arial" w:cs="Arial"/>
          <w:sz w:val="32"/>
          <w:szCs w:val="32"/>
        </w:rPr>
        <w:t xml:space="preserve"> </w:t>
      </w:r>
      <w:r w:rsidR="00097881" w:rsidRPr="009277F7">
        <w:rPr>
          <w:rFonts w:ascii="Arial" w:hAnsi="Arial" w:cs="Arial"/>
          <w:sz w:val="32"/>
          <w:szCs w:val="32"/>
        </w:rPr>
        <w:t>(Semáforos Coordenados)</w:t>
      </w:r>
      <w:r w:rsidRPr="009277F7">
        <w:rPr>
          <w:rFonts w:ascii="Arial" w:hAnsi="Arial" w:cs="Arial"/>
          <w:sz w:val="32"/>
          <w:szCs w:val="32"/>
        </w:rPr>
        <w:t xml:space="preserve">, a cidade possuía aproximadamente 1.700 cruzamentos </w:t>
      </w:r>
      <w:r w:rsidRPr="009277F7">
        <w:rPr>
          <w:rFonts w:ascii="Arial" w:hAnsi="Arial" w:cs="Arial"/>
          <w:sz w:val="32"/>
          <w:szCs w:val="32"/>
        </w:rPr>
        <w:lastRenderedPageBreak/>
        <w:t>semaforizados, sendo que destes, 400 eram coordenados por controladores eletromecânicos.</w:t>
      </w:r>
    </w:p>
    <w:p w14:paraId="06B2B49B" w14:textId="77777777" w:rsidR="009F2A7A" w:rsidRPr="009277F7" w:rsidRDefault="009F2A7A" w:rsidP="009277F7">
      <w:pPr>
        <w:ind w:firstLine="1134"/>
        <w:jc w:val="both"/>
        <w:rPr>
          <w:rFonts w:ascii="Arial" w:hAnsi="Arial" w:cs="Arial"/>
          <w:sz w:val="32"/>
          <w:szCs w:val="32"/>
        </w:rPr>
      </w:pPr>
      <w:r w:rsidRPr="009277F7">
        <w:rPr>
          <w:rFonts w:ascii="Arial" w:hAnsi="Arial" w:cs="Arial"/>
          <w:sz w:val="32"/>
          <w:szCs w:val="32"/>
        </w:rPr>
        <w:t>Após contar com o patrocínio da Empresa Brasileira de Transportes Urbanos (EBTU) e do Departamento Nacional de Trânsito (DENATRAN), a CET desenvolveu o projeto do controlador eletrônico de Semáforos Atuados pelo Tráfego (SEMAT), sendo que em 1982 a cidade contava com 30 destes controladores operando por meio de impulsos pelo detector de veículos instalados sob o asfalto.</w:t>
      </w:r>
    </w:p>
    <w:p w14:paraId="10C742CD" w14:textId="01FD197A" w:rsidR="009F2A7A" w:rsidRPr="009277F7" w:rsidRDefault="009F2A7A" w:rsidP="009277F7">
      <w:pPr>
        <w:ind w:firstLine="1134"/>
        <w:jc w:val="both"/>
        <w:rPr>
          <w:rFonts w:ascii="Arial" w:hAnsi="Arial" w:cs="Arial"/>
          <w:sz w:val="32"/>
          <w:szCs w:val="32"/>
        </w:rPr>
      </w:pPr>
      <w:r w:rsidRPr="009277F7">
        <w:rPr>
          <w:rFonts w:ascii="Arial" w:hAnsi="Arial" w:cs="Arial"/>
          <w:sz w:val="32"/>
          <w:szCs w:val="32"/>
        </w:rPr>
        <w:t>Ainda</w:t>
      </w:r>
      <w:r w:rsidR="00135C05">
        <w:rPr>
          <w:rFonts w:ascii="Arial" w:hAnsi="Arial" w:cs="Arial"/>
          <w:sz w:val="32"/>
          <w:szCs w:val="32"/>
        </w:rPr>
        <w:t xml:space="preserve"> </w:t>
      </w:r>
      <w:r w:rsidRPr="009277F7">
        <w:rPr>
          <w:rFonts w:ascii="Arial" w:hAnsi="Arial" w:cs="Arial"/>
          <w:sz w:val="32"/>
          <w:szCs w:val="32"/>
        </w:rPr>
        <w:t>em 1982</w:t>
      </w:r>
      <w:r w:rsidR="00135C05">
        <w:rPr>
          <w:rFonts w:ascii="Arial" w:hAnsi="Arial" w:cs="Arial"/>
          <w:sz w:val="32"/>
          <w:szCs w:val="32"/>
        </w:rPr>
        <w:t>,</w:t>
      </w:r>
      <w:r w:rsidRPr="009277F7">
        <w:rPr>
          <w:rFonts w:ascii="Arial" w:hAnsi="Arial" w:cs="Arial"/>
          <w:sz w:val="32"/>
          <w:szCs w:val="32"/>
        </w:rPr>
        <w:t xml:space="preserve"> a cidade já dispunha de um sistema centralizado responsável pelo controle de 470 semáforos na região mais saturada da cidade, contando também com alguns poucos semáforos isolados atuados. À época, as programações semafóricas eram fixas e construídas para atender situações médias de demanda.</w:t>
      </w:r>
    </w:p>
    <w:p w14:paraId="475A778E" w14:textId="77777777" w:rsidR="009F2A7A" w:rsidRPr="009277F7" w:rsidRDefault="009F2A7A" w:rsidP="009277F7">
      <w:pPr>
        <w:ind w:firstLine="1134"/>
        <w:jc w:val="both"/>
        <w:rPr>
          <w:rFonts w:ascii="Arial" w:hAnsi="Arial" w:cs="Arial"/>
          <w:sz w:val="32"/>
          <w:szCs w:val="32"/>
        </w:rPr>
      </w:pPr>
      <w:r w:rsidRPr="009277F7">
        <w:rPr>
          <w:rFonts w:ascii="Arial" w:hAnsi="Arial" w:cs="Arial"/>
          <w:sz w:val="32"/>
          <w:szCs w:val="32"/>
        </w:rPr>
        <w:t>A rigidez trazida pelas programações em tempo fixo implicava em um atendimento ineficiente para aquelas vias, caracterizadas por variações mais acentuadas no perfil do trânsito e na total impossibilidade de lidar com os incidentes imprevisíveis que ocorrem diariamente nas ruas da cidade.</w:t>
      </w:r>
    </w:p>
    <w:p w14:paraId="74A96E8E" w14:textId="6A6AC3D5" w:rsidR="009F2A7A" w:rsidRPr="009277F7" w:rsidRDefault="009F2A7A" w:rsidP="009277F7">
      <w:pPr>
        <w:ind w:firstLine="1134"/>
        <w:jc w:val="both"/>
        <w:rPr>
          <w:rFonts w:ascii="Arial" w:hAnsi="Arial" w:cs="Arial"/>
          <w:sz w:val="32"/>
          <w:szCs w:val="32"/>
        </w:rPr>
      </w:pPr>
      <w:r w:rsidRPr="009277F7">
        <w:rPr>
          <w:rFonts w:ascii="Arial" w:hAnsi="Arial" w:cs="Arial"/>
          <w:sz w:val="32"/>
          <w:szCs w:val="32"/>
        </w:rPr>
        <w:t>Por volta de 1995, existiam aproximadamente 4</w:t>
      </w:r>
      <w:r w:rsidR="00D4305E">
        <w:rPr>
          <w:rFonts w:ascii="Arial" w:hAnsi="Arial" w:cs="Arial"/>
          <w:sz w:val="32"/>
          <w:szCs w:val="32"/>
        </w:rPr>
        <w:t>.</w:t>
      </w:r>
      <w:r w:rsidRPr="009277F7">
        <w:rPr>
          <w:rFonts w:ascii="Arial" w:hAnsi="Arial" w:cs="Arial"/>
          <w:sz w:val="32"/>
          <w:szCs w:val="32"/>
        </w:rPr>
        <w:t>000 semáforos na cidade de São Paulo, dos quais cerca da metade ainda era operada por controladores eletromecânicos.</w:t>
      </w:r>
    </w:p>
    <w:p w14:paraId="230333FA" w14:textId="77777777" w:rsidR="009F2A7A" w:rsidRPr="009277F7" w:rsidRDefault="009F2A7A" w:rsidP="009277F7">
      <w:pPr>
        <w:ind w:firstLine="1134"/>
        <w:jc w:val="both"/>
        <w:rPr>
          <w:rFonts w:ascii="Arial" w:hAnsi="Arial" w:cs="Arial"/>
          <w:sz w:val="32"/>
          <w:szCs w:val="32"/>
        </w:rPr>
      </w:pPr>
      <w:r w:rsidRPr="009277F7">
        <w:rPr>
          <w:rFonts w:ascii="Arial" w:hAnsi="Arial" w:cs="Arial"/>
          <w:sz w:val="32"/>
          <w:szCs w:val="32"/>
        </w:rPr>
        <w:t xml:space="preserve">Diante dos ganhos advindos do desenvolvimento tecnológico, o segmento dos controladores semafóricos foi um dos primeiros beneficiados. Equipamentos eletromecânicos obsoletos foram sendo paulatinamente substituídos por outros eletrônicos, o que disponibilizou uma gama muito maior de funções operacionais, viabilizando a constituição de sistemas integrados. </w:t>
      </w:r>
    </w:p>
    <w:p w14:paraId="4CEDB0FF" w14:textId="77777777" w:rsidR="009F2A7A" w:rsidRPr="009277F7" w:rsidRDefault="009F2A7A" w:rsidP="009277F7">
      <w:pPr>
        <w:ind w:firstLine="1134"/>
        <w:jc w:val="both"/>
        <w:rPr>
          <w:rFonts w:ascii="Arial" w:hAnsi="Arial" w:cs="Arial"/>
          <w:sz w:val="32"/>
          <w:szCs w:val="32"/>
        </w:rPr>
      </w:pPr>
      <w:r w:rsidRPr="009277F7">
        <w:rPr>
          <w:rFonts w:ascii="Arial" w:hAnsi="Arial" w:cs="Arial"/>
          <w:sz w:val="32"/>
          <w:szCs w:val="32"/>
        </w:rPr>
        <w:lastRenderedPageBreak/>
        <w:t xml:space="preserve">Diante das fragilidades encontradas no modo de operação vigente à época e aos avanços tecnológicos, concluiu-se que um novo sistema de controle de trânsito deveria ser implementado na cidade. </w:t>
      </w:r>
    </w:p>
    <w:p w14:paraId="55AC02CC" w14:textId="6275C2B9" w:rsidR="009F2A7A" w:rsidRPr="009277F7" w:rsidRDefault="009F2A7A" w:rsidP="009277F7">
      <w:pPr>
        <w:ind w:firstLine="1134"/>
        <w:jc w:val="both"/>
        <w:rPr>
          <w:rFonts w:ascii="Arial" w:hAnsi="Arial" w:cs="Arial"/>
          <w:sz w:val="32"/>
          <w:szCs w:val="32"/>
        </w:rPr>
      </w:pPr>
      <w:r w:rsidRPr="009277F7">
        <w:rPr>
          <w:rFonts w:ascii="Arial" w:hAnsi="Arial" w:cs="Arial"/>
          <w:sz w:val="32"/>
          <w:szCs w:val="32"/>
        </w:rPr>
        <w:t>Entre 1992 e 1994, a CET desenvolveu um trabalho de simulação</w:t>
      </w:r>
      <w:r w:rsidR="00A4031C">
        <w:rPr>
          <w:rFonts w:ascii="Arial" w:hAnsi="Arial" w:cs="Arial"/>
          <w:sz w:val="32"/>
          <w:szCs w:val="32"/>
        </w:rPr>
        <w:t xml:space="preserve"> </w:t>
      </w:r>
      <w:r w:rsidRPr="009277F7">
        <w:rPr>
          <w:rFonts w:ascii="Arial" w:hAnsi="Arial" w:cs="Arial"/>
          <w:sz w:val="32"/>
          <w:szCs w:val="32"/>
        </w:rPr>
        <w:t xml:space="preserve">por computador, analisando as consequências da implementação de diversas técnicas de controle nos 4.000 semáforos existentes. Concluiu-se que existia um universo de 1.500 semáforos viáveis para operarem em tempo real. </w:t>
      </w:r>
    </w:p>
    <w:p w14:paraId="42F435FC" w14:textId="77777777" w:rsidR="009F2A7A" w:rsidRPr="009277F7" w:rsidRDefault="009F2A7A" w:rsidP="009277F7">
      <w:pPr>
        <w:ind w:firstLine="1134"/>
        <w:jc w:val="both"/>
        <w:rPr>
          <w:rFonts w:ascii="Arial" w:hAnsi="Arial" w:cs="Arial"/>
          <w:sz w:val="32"/>
          <w:szCs w:val="32"/>
        </w:rPr>
      </w:pPr>
      <w:r w:rsidRPr="009277F7">
        <w:rPr>
          <w:rFonts w:ascii="Arial" w:hAnsi="Arial" w:cs="Arial"/>
          <w:sz w:val="32"/>
          <w:szCs w:val="32"/>
        </w:rPr>
        <w:t>Assim, a CET elaborou um projeto que iria servir de base para a implementação do novo controle semafórico, denominando-o de Projeto CTA – Centrais de Tráfego em Área, pois a experiência anterior com o SEMCO (Semáforos Coordenados) havia mostrado que uma centralização excessiva era prejudicial ao desempenho dos serviços de operação e manutenção. Foi essa a principal razão que levou à decisão de construir cinco Centrais de Tráfego em Área (CTA), cada uma responsável pelos semáforos de determinada região da cidade.</w:t>
      </w:r>
    </w:p>
    <w:p w14:paraId="2DC7D146" w14:textId="594483E0" w:rsidR="0026353C" w:rsidRPr="009277F7" w:rsidRDefault="009F2A7A" w:rsidP="009277F7">
      <w:pPr>
        <w:ind w:firstLine="1134"/>
        <w:jc w:val="both"/>
        <w:rPr>
          <w:rFonts w:ascii="Arial" w:hAnsi="Arial" w:cs="Arial"/>
          <w:sz w:val="32"/>
          <w:szCs w:val="32"/>
        </w:rPr>
      </w:pPr>
      <w:r w:rsidRPr="009277F7">
        <w:rPr>
          <w:rFonts w:ascii="Arial" w:hAnsi="Arial" w:cs="Arial"/>
          <w:sz w:val="32"/>
          <w:szCs w:val="32"/>
        </w:rPr>
        <w:t xml:space="preserve">Procurou-se posicionar o </w:t>
      </w:r>
      <w:r w:rsidR="00A4031C">
        <w:rPr>
          <w:rFonts w:ascii="Arial" w:hAnsi="Arial" w:cs="Arial"/>
          <w:sz w:val="32"/>
          <w:szCs w:val="32"/>
        </w:rPr>
        <w:t>C</w:t>
      </w:r>
      <w:r w:rsidRPr="009277F7">
        <w:rPr>
          <w:rFonts w:ascii="Arial" w:hAnsi="Arial" w:cs="Arial"/>
          <w:sz w:val="32"/>
          <w:szCs w:val="32"/>
        </w:rPr>
        <w:t xml:space="preserve">entro de </w:t>
      </w:r>
      <w:r w:rsidR="00A4031C">
        <w:rPr>
          <w:rFonts w:ascii="Arial" w:hAnsi="Arial" w:cs="Arial"/>
          <w:sz w:val="32"/>
          <w:szCs w:val="32"/>
        </w:rPr>
        <w:t>C</w:t>
      </w:r>
      <w:r w:rsidRPr="009277F7">
        <w:rPr>
          <w:rFonts w:ascii="Arial" w:hAnsi="Arial" w:cs="Arial"/>
          <w:sz w:val="32"/>
          <w:szCs w:val="32"/>
        </w:rPr>
        <w:t>ontrole de cada CTA o mais próximo possível do centro geográfico da área por ela comandada, a fim de diminuir os custos da instalação da rede própria de transmissão de dados e, também, para facilitar os serviços de operação e manutenção.</w:t>
      </w:r>
      <w:r w:rsidR="00F1028A" w:rsidRPr="009277F7">
        <w:rPr>
          <w:rFonts w:ascii="Arial" w:hAnsi="Arial" w:cs="Arial"/>
          <w:sz w:val="32"/>
          <w:szCs w:val="32"/>
        </w:rPr>
        <w:t xml:space="preserve"> </w:t>
      </w:r>
    </w:p>
    <w:p w14:paraId="65B44444" w14:textId="634F7267" w:rsidR="009F2A7A" w:rsidRPr="009277F7" w:rsidRDefault="009F2A7A" w:rsidP="009277F7">
      <w:pPr>
        <w:ind w:firstLine="1134"/>
        <w:jc w:val="both"/>
        <w:rPr>
          <w:rFonts w:ascii="Arial" w:hAnsi="Arial" w:cs="Arial"/>
          <w:sz w:val="32"/>
          <w:szCs w:val="32"/>
        </w:rPr>
      </w:pPr>
      <w:r w:rsidRPr="009277F7">
        <w:rPr>
          <w:rFonts w:ascii="Arial" w:hAnsi="Arial" w:cs="Arial"/>
          <w:sz w:val="32"/>
          <w:szCs w:val="32"/>
        </w:rPr>
        <w:t>Conforme estudos da Auditoria desta Corte</w:t>
      </w:r>
      <w:r w:rsidR="00382C31">
        <w:rPr>
          <w:rFonts w:ascii="Arial" w:hAnsi="Arial" w:cs="Arial"/>
          <w:sz w:val="32"/>
          <w:szCs w:val="32"/>
        </w:rPr>
        <w:t xml:space="preserve"> de Contas</w:t>
      </w:r>
      <w:r w:rsidRPr="009277F7">
        <w:rPr>
          <w:rFonts w:ascii="Arial" w:hAnsi="Arial" w:cs="Arial"/>
          <w:sz w:val="32"/>
          <w:szCs w:val="32"/>
        </w:rPr>
        <w:t xml:space="preserve">, </w:t>
      </w:r>
      <w:r w:rsidR="00382C31">
        <w:rPr>
          <w:rFonts w:ascii="Arial" w:hAnsi="Arial" w:cs="Arial"/>
          <w:sz w:val="32"/>
          <w:szCs w:val="32"/>
        </w:rPr>
        <w:t>o</w:t>
      </w:r>
      <w:r w:rsidRPr="009277F7">
        <w:rPr>
          <w:rFonts w:ascii="Arial" w:hAnsi="Arial" w:cs="Arial"/>
          <w:sz w:val="32"/>
          <w:szCs w:val="32"/>
        </w:rPr>
        <w:t>s semáforos em tempo real foram implementados em 64% dos 1.507 cruzamentos previstos e 66% das 164 câmeras de Circuito Fechado de Televisão (CFTV) previstas foram instalada</w:t>
      </w:r>
      <w:r w:rsidR="002C06F1">
        <w:rPr>
          <w:rFonts w:ascii="Arial" w:hAnsi="Arial" w:cs="Arial"/>
          <w:sz w:val="32"/>
          <w:szCs w:val="32"/>
        </w:rPr>
        <w:t>s</w:t>
      </w:r>
      <w:r w:rsidRPr="009277F7">
        <w:rPr>
          <w:rFonts w:ascii="Arial" w:hAnsi="Arial" w:cs="Arial"/>
          <w:sz w:val="32"/>
          <w:szCs w:val="32"/>
        </w:rPr>
        <w:t>.</w:t>
      </w:r>
    </w:p>
    <w:p w14:paraId="4FABDCBD" w14:textId="0ED461A5" w:rsidR="00696494" w:rsidRPr="009277F7" w:rsidRDefault="007923F3" w:rsidP="009277F7">
      <w:pPr>
        <w:ind w:firstLine="1134"/>
        <w:jc w:val="both"/>
        <w:rPr>
          <w:rFonts w:ascii="Arial" w:hAnsi="Arial" w:cs="Arial"/>
          <w:sz w:val="32"/>
          <w:szCs w:val="32"/>
        </w:rPr>
      </w:pPr>
      <w:r w:rsidRPr="009277F7">
        <w:rPr>
          <w:rFonts w:ascii="Arial" w:hAnsi="Arial" w:cs="Arial"/>
          <w:sz w:val="32"/>
          <w:szCs w:val="32"/>
        </w:rPr>
        <w:t xml:space="preserve">Desde o início de 2013 a CET começou a formatar ações de engenharia e de infraestrutura para recuperar a </w:t>
      </w:r>
      <w:r w:rsidRPr="009277F7">
        <w:rPr>
          <w:rFonts w:ascii="Arial" w:hAnsi="Arial" w:cs="Arial"/>
          <w:sz w:val="32"/>
          <w:szCs w:val="32"/>
        </w:rPr>
        <w:lastRenderedPageBreak/>
        <w:t xml:space="preserve">rede de semáforos. Estava prevista </w:t>
      </w:r>
      <w:r w:rsidR="00A2705A">
        <w:rPr>
          <w:rFonts w:ascii="Arial" w:hAnsi="Arial" w:cs="Arial"/>
          <w:sz w:val="32"/>
          <w:szCs w:val="32"/>
        </w:rPr>
        <w:t xml:space="preserve">a </w:t>
      </w:r>
      <w:r w:rsidRPr="009277F7">
        <w:rPr>
          <w:rFonts w:ascii="Arial" w:hAnsi="Arial" w:cs="Arial"/>
          <w:sz w:val="32"/>
          <w:szCs w:val="32"/>
        </w:rPr>
        <w:t>realização de um levantamento completo de todos os semáforos existentes, item por item, inclusive com fotos, cujo projeto recebeu o nome de “DNA Semafórico”. Nesse mesmo perí</w:t>
      </w:r>
      <w:r w:rsidR="00D1173B" w:rsidRPr="009277F7">
        <w:rPr>
          <w:rFonts w:ascii="Arial" w:hAnsi="Arial" w:cs="Arial"/>
          <w:sz w:val="32"/>
          <w:szCs w:val="32"/>
        </w:rPr>
        <w:t xml:space="preserve">odo a CET começou a estruturar </w:t>
      </w:r>
      <w:r w:rsidR="00696494" w:rsidRPr="009277F7">
        <w:rPr>
          <w:rFonts w:ascii="Arial" w:hAnsi="Arial" w:cs="Arial"/>
          <w:sz w:val="32"/>
          <w:szCs w:val="32"/>
        </w:rPr>
        <w:t>uma licitação para implantar a Central Integrada de Mobilidade Urbana (CIMU). Através dela, o sistema de monitoramento de trânsito e transporte coletivo da cidade de São Paulo se tornaria inteligente e integrado, uma vez que haveria a possibilidade de compartilhamento dos dados e informações entre as centrais de operações da SPTrans e da CET.</w:t>
      </w:r>
    </w:p>
    <w:p w14:paraId="0F40180E" w14:textId="77777777" w:rsidR="00696494" w:rsidRPr="009277F7" w:rsidRDefault="00696494" w:rsidP="009277F7">
      <w:pPr>
        <w:ind w:firstLine="1134"/>
        <w:jc w:val="both"/>
        <w:rPr>
          <w:rFonts w:ascii="Arial" w:hAnsi="Arial" w:cs="Arial"/>
          <w:sz w:val="32"/>
          <w:szCs w:val="32"/>
        </w:rPr>
      </w:pPr>
      <w:r w:rsidRPr="009277F7">
        <w:rPr>
          <w:rFonts w:ascii="Arial" w:hAnsi="Arial" w:cs="Arial"/>
          <w:sz w:val="32"/>
          <w:szCs w:val="32"/>
        </w:rPr>
        <w:t xml:space="preserve">Com a revitalização do parque tecnológico, a criação desta central permitiria o compartilhamento de dados e informações da central de operações da SPTrans com todas as centrais da CET (Central de Operações, centrais de semáforos e de túneis). </w:t>
      </w:r>
    </w:p>
    <w:p w14:paraId="28E778F3" w14:textId="77777777" w:rsidR="00696494" w:rsidRPr="009277F7" w:rsidRDefault="00696494" w:rsidP="009277F7">
      <w:pPr>
        <w:ind w:firstLine="1134"/>
        <w:jc w:val="both"/>
        <w:rPr>
          <w:rFonts w:ascii="Arial" w:hAnsi="Arial" w:cs="Arial"/>
          <w:sz w:val="32"/>
          <w:szCs w:val="32"/>
        </w:rPr>
      </w:pPr>
      <w:r w:rsidRPr="009277F7">
        <w:rPr>
          <w:rFonts w:ascii="Arial" w:hAnsi="Arial" w:cs="Arial"/>
          <w:sz w:val="32"/>
          <w:szCs w:val="32"/>
        </w:rPr>
        <w:t xml:space="preserve">A contratação para essa intervenção semafórica seguiu o cronograma anunciado no início de 2013 pela Administração Municipal, consistindo na recuperação das instalações elétricas e do sistema de proteção (aterramento e dispositivo de proteção). Outro aspecto fundamental do serviço é que o conserto e a manutenção dos semáforos teriam de ser feitos em, no máximo, duas horas após a constatação da ocorrência de defeitos. Haveria, ainda, a instalação de no-breaks quando o local indicasse esta necessidade. </w:t>
      </w:r>
    </w:p>
    <w:p w14:paraId="5317CE07" w14:textId="77777777" w:rsidR="00696494" w:rsidRPr="009277F7" w:rsidRDefault="00696494" w:rsidP="009277F7">
      <w:pPr>
        <w:ind w:firstLine="1134"/>
        <w:jc w:val="both"/>
        <w:rPr>
          <w:rFonts w:ascii="Arial" w:hAnsi="Arial" w:cs="Arial"/>
          <w:sz w:val="32"/>
          <w:szCs w:val="32"/>
        </w:rPr>
      </w:pPr>
      <w:r w:rsidRPr="009277F7">
        <w:rPr>
          <w:rFonts w:ascii="Arial" w:hAnsi="Arial" w:cs="Arial"/>
          <w:sz w:val="32"/>
          <w:szCs w:val="32"/>
        </w:rPr>
        <w:t xml:space="preserve">Estes equipamentos garantem o funcionamento dos semáforos por duas horas quando há falta de energia e evitam problemas em decorrência de sobrecargas - situações responsáveis por parte das falhas semafóricas.  A estimativa era de que seriam necessários 2.520 km de cabos de energia, 119 postes e 1.490 lâmpadas nas reformas, além de 1.400 no-breaks. </w:t>
      </w:r>
    </w:p>
    <w:p w14:paraId="5347D4E2" w14:textId="249B6FB8" w:rsidR="00696494" w:rsidRPr="009277F7" w:rsidRDefault="00696494" w:rsidP="009277F7">
      <w:pPr>
        <w:ind w:firstLine="1134"/>
        <w:jc w:val="both"/>
        <w:rPr>
          <w:rFonts w:ascii="Arial" w:hAnsi="Arial" w:cs="Arial"/>
          <w:sz w:val="32"/>
          <w:szCs w:val="32"/>
        </w:rPr>
      </w:pPr>
      <w:r w:rsidRPr="009277F7">
        <w:rPr>
          <w:rFonts w:ascii="Arial" w:hAnsi="Arial" w:cs="Arial"/>
          <w:sz w:val="32"/>
          <w:szCs w:val="32"/>
        </w:rPr>
        <w:lastRenderedPageBreak/>
        <w:t xml:space="preserve">Conforme dados apurados pela Auditoria desta Corte, até 2018 a recuperação da rede semafórica alcançou </w:t>
      </w:r>
      <w:r w:rsidRPr="00710B53">
        <w:rPr>
          <w:rFonts w:ascii="Arial" w:hAnsi="Arial" w:cs="Arial"/>
          <w:sz w:val="32"/>
          <w:szCs w:val="32"/>
        </w:rPr>
        <w:t>4.951 cruzamentos</w:t>
      </w:r>
      <w:r w:rsidRPr="009277F7">
        <w:rPr>
          <w:rFonts w:ascii="Arial" w:hAnsi="Arial" w:cs="Arial"/>
          <w:sz w:val="32"/>
          <w:szCs w:val="32"/>
        </w:rPr>
        <w:t>, dos quais 1.407 passaram a ter no-breaks instalados (dos 1.400 previstos).</w:t>
      </w:r>
    </w:p>
    <w:p w14:paraId="05BEC2FD" w14:textId="325B73B1" w:rsidR="007923F3" w:rsidRPr="009277F7" w:rsidRDefault="00696494" w:rsidP="009277F7">
      <w:pPr>
        <w:ind w:firstLine="1134"/>
        <w:jc w:val="both"/>
        <w:rPr>
          <w:rFonts w:ascii="Arial" w:hAnsi="Arial" w:cs="Arial"/>
          <w:sz w:val="32"/>
          <w:szCs w:val="32"/>
        </w:rPr>
      </w:pPr>
      <w:r w:rsidRPr="009277F7">
        <w:rPr>
          <w:rFonts w:ascii="Arial" w:hAnsi="Arial" w:cs="Arial"/>
          <w:sz w:val="32"/>
          <w:szCs w:val="32"/>
        </w:rPr>
        <w:t xml:space="preserve">Ainda em 2018, a Administração </w:t>
      </w:r>
      <w:r w:rsidR="00505AF2">
        <w:rPr>
          <w:rFonts w:ascii="Arial" w:hAnsi="Arial" w:cs="Arial"/>
          <w:sz w:val="32"/>
          <w:szCs w:val="32"/>
        </w:rPr>
        <w:t>M</w:t>
      </w:r>
      <w:r w:rsidRPr="009277F7">
        <w:rPr>
          <w:rFonts w:ascii="Arial" w:hAnsi="Arial" w:cs="Arial"/>
          <w:sz w:val="32"/>
          <w:szCs w:val="32"/>
        </w:rPr>
        <w:t xml:space="preserve">unicipal publicou edital de chamamento público intitulado Procedimento Preliminar de Manifestação de Interesse (PPMI) para receber subsídios preliminares </w:t>
      </w:r>
      <w:r w:rsidR="00BE1E31" w:rsidRPr="00492C18">
        <w:rPr>
          <w:rFonts w:ascii="Arial" w:hAnsi="Arial" w:cs="Arial"/>
          <w:sz w:val="32"/>
          <w:szCs w:val="32"/>
        </w:rPr>
        <w:t>visando</w:t>
      </w:r>
      <w:r w:rsidR="00BE1E31">
        <w:rPr>
          <w:rFonts w:ascii="Arial" w:hAnsi="Arial" w:cs="Arial"/>
          <w:sz w:val="32"/>
          <w:szCs w:val="32"/>
        </w:rPr>
        <w:t xml:space="preserve"> </w:t>
      </w:r>
      <w:r w:rsidRPr="009277F7">
        <w:rPr>
          <w:rFonts w:ascii="Arial" w:hAnsi="Arial" w:cs="Arial"/>
          <w:sz w:val="32"/>
          <w:szCs w:val="32"/>
        </w:rPr>
        <w:t>a estruturação de uma parceria com a iniciativa privada para a modernização da rede semafórica da cidade</w:t>
      </w:r>
      <w:r w:rsidR="00BE078B" w:rsidRPr="009277F7">
        <w:rPr>
          <w:rFonts w:ascii="Arial" w:hAnsi="Arial" w:cs="Arial"/>
          <w:sz w:val="32"/>
          <w:szCs w:val="32"/>
        </w:rPr>
        <w:t>.</w:t>
      </w:r>
    </w:p>
    <w:p w14:paraId="024B1212" w14:textId="4BE3F8B7" w:rsidR="00BE078B" w:rsidRPr="009277F7" w:rsidRDefault="00BE078B" w:rsidP="009277F7">
      <w:pPr>
        <w:ind w:firstLine="1134"/>
        <w:jc w:val="both"/>
        <w:rPr>
          <w:rFonts w:ascii="Arial" w:hAnsi="Arial" w:cs="Arial"/>
          <w:sz w:val="32"/>
          <w:szCs w:val="32"/>
        </w:rPr>
      </w:pPr>
      <w:r w:rsidRPr="009277F7">
        <w:rPr>
          <w:rFonts w:ascii="Arial" w:hAnsi="Arial" w:cs="Arial"/>
          <w:sz w:val="32"/>
          <w:szCs w:val="32"/>
        </w:rPr>
        <w:t xml:space="preserve">Seguiu-se, em dezembro de 2019, a publicação do Edital de Licitação n° 01/2019 objetivando a prestação dos serviços de modernização e manutenção do sistema de controle semafórico da </w:t>
      </w:r>
      <w:r w:rsidR="007216B4">
        <w:rPr>
          <w:rFonts w:ascii="Arial" w:hAnsi="Arial" w:cs="Arial"/>
          <w:sz w:val="32"/>
          <w:szCs w:val="32"/>
        </w:rPr>
        <w:t>C</w:t>
      </w:r>
      <w:r w:rsidRPr="009277F7">
        <w:rPr>
          <w:rFonts w:ascii="Arial" w:hAnsi="Arial" w:cs="Arial"/>
          <w:sz w:val="32"/>
          <w:szCs w:val="32"/>
        </w:rPr>
        <w:t>idade, pelo prazo de 60 (sessenta) meses, com valor estimado em R$ 894.941.242,36, com o objeto dividido em 4 lotes.</w:t>
      </w:r>
    </w:p>
    <w:p w14:paraId="1500EBD2" w14:textId="77777777" w:rsidR="00BE078B" w:rsidRPr="009277F7" w:rsidRDefault="00D02BCC" w:rsidP="009277F7">
      <w:pPr>
        <w:ind w:firstLine="1134"/>
        <w:jc w:val="both"/>
        <w:rPr>
          <w:rFonts w:ascii="Arial" w:hAnsi="Arial" w:cs="Arial"/>
          <w:sz w:val="32"/>
          <w:szCs w:val="32"/>
        </w:rPr>
      </w:pPr>
      <w:r w:rsidRPr="009277F7">
        <w:rPr>
          <w:rFonts w:ascii="Arial" w:hAnsi="Arial" w:cs="Arial"/>
          <w:sz w:val="32"/>
          <w:szCs w:val="32"/>
        </w:rPr>
        <w:t>Em janeiro de 2020 a CET suspendeu a abertura do certame, para reanalisar e adequar seu edital, tendo em vista os apontamentos feitos pela Equipe Técnica deste Tribunal, ao elaborar o Relatório Preliminar de Acompanhamento de Edital, tratado no eTCM nº 074/2020.</w:t>
      </w:r>
    </w:p>
    <w:p w14:paraId="5F63A25E" w14:textId="20A9FCD1" w:rsidR="00D02BCC" w:rsidRDefault="00D02BCC" w:rsidP="009277F7">
      <w:pPr>
        <w:ind w:firstLine="1134"/>
        <w:jc w:val="both"/>
        <w:rPr>
          <w:rFonts w:ascii="Arial" w:hAnsi="Arial" w:cs="Arial"/>
          <w:sz w:val="32"/>
          <w:szCs w:val="32"/>
        </w:rPr>
      </w:pPr>
      <w:r w:rsidRPr="009277F7">
        <w:rPr>
          <w:rFonts w:ascii="Arial" w:hAnsi="Arial" w:cs="Arial"/>
          <w:sz w:val="32"/>
          <w:szCs w:val="32"/>
        </w:rPr>
        <w:t>Como já mencionado no preâmbulo deste voto, em fevereiro deste ano o Conselheiro Domingos Dissei, relator da matéria, exarou despacho no qual autorizou a</w:t>
      </w:r>
      <w:r w:rsidR="00B06359" w:rsidRPr="009277F7">
        <w:rPr>
          <w:rFonts w:ascii="Arial" w:hAnsi="Arial" w:cs="Arial"/>
          <w:sz w:val="32"/>
          <w:szCs w:val="32"/>
        </w:rPr>
        <w:t xml:space="preserve"> retomada</w:t>
      </w:r>
      <w:r w:rsidRPr="009277F7">
        <w:rPr>
          <w:rFonts w:ascii="Arial" w:hAnsi="Arial" w:cs="Arial"/>
          <w:sz w:val="32"/>
          <w:szCs w:val="32"/>
        </w:rPr>
        <w:t xml:space="preserve"> </w:t>
      </w:r>
      <w:r w:rsidR="00B06359" w:rsidRPr="009277F7">
        <w:rPr>
          <w:rFonts w:ascii="Arial" w:hAnsi="Arial" w:cs="Arial"/>
          <w:sz w:val="32"/>
          <w:szCs w:val="32"/>
        </w:rPr>
        <w:t>d</w:t>
      </w:r>
      <w:r w:rsidRPr="009277F7">
        <w:rPr>
          <w:rFonts w:ascii="Arial" w:hAnsi="Arial" w:cs="Arial"/>
          <w:sz w:val="32"/>
          <w:szCs w:val="32"/>
        </w:rPr>
        <w:t>o edital da Licitação n° 01/2019/CET</w:t>
      </w:r>
      <w:r w:rsidR="00B06359" w:rsidRPr="009277F7">
        <w:rPr>
          <w:rFonts w:ascii="Arial" w:hAnsi="Arial" w:cs="Arial"/>
          <w:sz w:val="32"/>
          <w:szCs w:val="32"/>
        </w:rPr>
        <w:t>, observada a discricionariedade da Administração na continuidade dessa licitação, condicionando, entretanto</w:t>
      </w:r>
      <w:r w:rsidR="00BC3CEA">
        <w:rPr>
          <w:rFonts w:ascii="Arial" w:hAnsi="Arial" w:cs="Arial"/>
          <w:sz w:val="32"/>
          <w:szCs w:val="32"/>
        </w:rPr>
        <w:t>,</w:t>
      </w:r>
      <w:r w:rsidR="00B06359" w:rsidRPr="009277F7">
        <w:rPr>
          <w:rFonts w:ascii="Arial" w:hAnsi="Arial" w:cs="Arial"/>
          <w:sz w:val="32"/>
          <w:szCs w:val="32"/>
        </w:rPr>
        <w:t xml:space="preserve"> que </w:t>
      </w:r>
      <w:r w:rsidR="00BC3CEA">
        <w:rPr>
          <w:rFonts w:ascii="Arial" w:hAnsi="Arial" w:cs="Arial"/>
          <w:sz w:val="32"/>
          <w:szCs w:val="32"/>
        </w:rPr>
        <w:t>seja</w:t>
      </w:r>
      <w:r w:rsidRPr="009277F7">
        <w:rPr>
          <w:rFonts w:ascii="Arial" w:hAnsi="Arial" w:cs="Arial"/>
          <w:sz w:val="32"/>
          <w:szCs w:val="32"/>
        </w:rPr>
        <w:t xml:space="preserve"> providenciada a inserção de modificações na forma das conclusões da Coordenadoria V</w:t>
      </w:r>
      <w:r w:rsidR="00B06359" w:rsidRPr="009277F7">
        <w:rPr>
          <w:rFonts w:ascii="Arial" w:hAnsi="Arial" w:cs="Arial"/>
          <w:sz w:val="32"/>
          <w:szCs w:val="32"/>
        </w:rPr>
        <w:t>.</w:t>
      </w:r>
    </w:p>
    <w:p w14:paraId="0C58E125" w14:textId="77777777" w:rsidR="00097881" w:rsidRPr="009277F7" w:rsidRDefault="00097881" w:rsidP="009277F7">
      <w:pPr>
        <w:ind w:firstLine="1134"/>
        <w:jc w:val="both"/>
        <w:rPr>
          <w:rFonts w:ascii="Arial" w:hAnsi="Arial" w:cs="Arial"/>
          <w:sz w:val="32"/>
          <w:szCs w:val="32"/>
        </w:rPr>
      </w:pPr>
    </w:p>
    <w:p w14:paraId="48C1F89F" w14:textId="77777777" w:rsidR="009D4A90" w:rsidRPr="009277F7" w:rsidRDefault="009D4A90" w:rsidP="009D4A90">
      <w:pPr>
        <w:pStyle w:val="PargrafodaLista"/>
        <w:numPr>
          <w:ilvl w:val="1"/>
          <w:numId w:val="1"/>
        </w:numPr>
        <w:jc w:val="both"/>
        <w:rPr>
          <w:rFonts w:ascii="Arial" w:hAnsi="Arial" w:cs="Arial"/>
          <w:b/>
          <w:sz w:val="32"/>
          <w:szCs w:val="32"/>
        </w:rPr>
      </w:pPr>
      <w:r w:rsidRPr="009277F7">
        <w:rPr>
          <w:rFonts w:ascii="Arial" w:hAnsi="Arial" w:cs="Arial"/>
          <w:b/>
          <w:sz w:val="32"/>
          <w:szCs w:val="32"/>
        </w:rPr>
        <w:t xml:space="preserve">– Do atual modelo de manutenção e revitalização semafórica </w:t>
      </w:r>
    </w:p>
    <w:p w14:paraId="546BBDBB" w14:textId="77777777" w:rsidR="00B06359" w:rsidRPr="009277F7" w:rsidRDefault="00B06359" w:rsidP="009D4A90">
      <w:pPr>
        <w:pStyle w:val="PargrafodaLista"/>
        <w:ind w:left="435"/>
        <w:jc w:val="both"/>
        <w:rPr>
          <w:rFonts w:ascii="Arial" w:hAnsi="Arial" w:cs="Arial"/>
          <w:sz w:val="32"/>
          <w:szCs w:val="32"/>
        </w:rPr>
      </w:pPr>
    </w:p>
    <w:p w14:paraId="445AA432" w14:textId="77777777" w:rsidR="005F42B7" w:rsidRPr="009277F7" w:rsidRDefault="00C52709" w:rsidP="009277F7">
      <w:pPr>
        <w:ind w:firstLine="1134"/>
        <w:jc w:val="both"/>
        <w:rPr>
          <w:rFonts w:ascii="Arial" w:hAnsi="Arial" w:cs="Arial"/>
          <w:sz w:val="32"/>
          <w:szCs w:val="32"/>
        </w:rPr>
      </w:pPr>
      <w:r w:rsidRPr="009277F7">
        <w:rPr>
          <w:rFonts w:ascii="Arial" w:hAnsi="Arial" w:cs="Arial"/>
          <w:sz w:val="32"/>
          <w:szCs w:val="32"/>
        </w:rPr>
        <w:t xml:space="preserve">Conforme levantamento efetuado pela Auditoria deste Tribunal </w:t>
      </w:r>
      <w:r w:rsidR="005F42B7" w:rsidRPr="009277F7">
        <w:rPr>
          <w:rFonts w:ascii="Arial" w:hAnsi="Arial" w:cs="Arial"/>
          <w:sz w:val="32"/>
          <w:szCs w:val="32"/>
        </w:rPr>
        <w:t xml:space="preserve">na Inspeção objeto do </w:t>
      </w:r>
      <w:r w:rsidRPr="009277F7">
        <w:rPr>
          <w:rFonts w:ascii="Arial" w:hAnsi="Arial" w:cs="Arial"/>
          <w:sz w:val="32"/>
          <w:szCs w:val="32"/>
        </w:rPr>
        <w:t>eTCM nº 005872/2019</w:t>
      </w:r>
      <w:r w:rsidR="005F42B7" w:rsidRPr="009277F7">
        <w:rPr>
          <w:rFonts w:ascii="Arial" w:hAnsi="Arial" w:cs="Arial"/>
          <w:sz w:val="32"/>
          <w:szCs w:val="32"/>
        </w:rPr>
        <w:t xml:space="preserve">, o parque semafórico operante na cidade de São Paulo inclui cerca de 6.000 cruzamentos dotados de equipamentos com diferentes características. </w:t>
      </w:r>
    </w:p>
    <w:p w14:paraId="6459F644" w14:textId="77777777" w:rsidR="005F42B7" w:rsidRPr="009277F7" w:rsidRDefault="005F42B7" w:rsidP="009277F7">
      <w:pPr>
        <w:ind w:firstLine="1134"/>
        <w:jc w:val="both"/>
        <w:rPr>
          <w:rFonts w:ascii="Arial" w:hAnsi="Arial" w:cs="Arial"/>
          <w:sz w:val="32"/>
          <w:szCs w:val="32"/>
        </w:rPr>
      </w:pPr>
      <w:r w:rsidRPr="009277F7">
        <w:rPr>
          <w:rFonts w:ascii="Arial" w:hAnsi="Arial" w:cs="Arial"/>
          <w:sz w:val="32"/>
          <w:szCs w:val="32"/>
        </w:rPr>
        <w:t xml:space="preserve">O funcionamento dos conjuntos semafóricos instalados é definido segundo o modo de operação de seus controladores (centralizados ou descentralizados) e os equipamentos instalados são procedentes de diversos fabricantes fornecedores da CET ao longo dos anos. </w:t>
      </w:r>
    </w:p>
    <w:p w14:paraId="6A498251" w14:textId="77777777" w:rsidR="00C52709" w:rsidRPr="009277F7" w:rsidRDefault="005F42B7" w:rsidP="009277F7">
      <w:pPr>
        <w:ind w:firstLine="1134"/>
        <w:jc w:val="both"/>
        <w:rPr>
          <w:rFonts w:ascii="Arial" w:hAnsi="Arial" w:cs="Arial"/>
          <w:sz w:val="32"/>
          <w:szCs w:val="32"/>
        </w:rPr>
      </w:pPr>
      <w:r w:rsidRPr="009277F7">
        <w:rPr>
          <w:rFonts w:ascii="Arial" w:hAnsi="Arial" w:cs="Arial"/>
          <w:sz w:val="32"/>
          <w:szCs w:val="32"/>
        </w:rPr>
        <w:t>O sistema semafórico de São Paulo consiste, assim, numa grande diversidade de equipamentos que foram sendo instalados ao longo do tempo, não apresentando uma padronização que facilite determinadas atividades, como a de manutenção desse sistema.</w:t>
      </w:r>
    </w:p>
    <w:p w14:paraId="211941AF" w14:textId="77777777" w:rsidR="005F42B7" w:rsidRPr="009277F7" w:rsidRDefault="005F42B7" w:rsidP="009277F7">
      <w:pPr>
        <w:ind w:firstLine="1134"/>
        <w:jc w:val="both"/>
        <w:rPr>
          <w:rFonts w:ascii="Arial" w:hAnsi="Arial" w:cs="Arial"/>
          <w:sz w:val="32"/>
          <w:szCs w:val="32"/>
        </w:rPr>
      </w:pPr>
      <w:r w:rsidRPr="009277F7">
        <w:rPr>
          <w:rFonts w:ascii="Arial" w:hAnsi="Arial" w:cs="Arial"/>
          <w:sz w:val="32"/>
          <w:szCs w:val="32"/>
        </w:rPr>
        <w:t>Além dos controladores, grupos focais e outros equipamentos eletroeletrônicos, a infraestrutura necessária ao funcionamento dos semáforos inclui instalações elétricas, cabeamentos de comunicação, botoeiras, sensores de identificação e contagem de veículos, dentre outros elementos que sofrem desgaste com o uso, com a exposição a intempéries e com outras formas de degradação. Assim, a manutenção preventiva e corretiva desses equipamentos e infraestruturas se faz indispensável para que a operação do sistema semafórico não sofra interrupções, comprometendo a segurança e a fluidez do trânsito na cidade.</w:t>
      </w:r>
    </w:p>
    <w:p w14:paraId="60F98B66" w14:textId="2998C56E" w:rsidR="005F42B7" w:rsidRPr="009277F7" w:rsidRDefault="005F42B7" w:rsidP="009277F7">
      <w:pPr>
        <w:ind w:firstLine="1134"/>
        <w:jc w:val="both"/>
        <w:rPr>
          <w:rFonts w:ascii="Arial" w:hAnsi="Arial" w:cs="Arial"/>
          <w:sz w:val="32"/>
          <w:szCs w:val="32"/>
        </w:rPr>
      </w:pPr>
      <w:r w:rsidRPr="009277F7">
        <w:rPr>
          <w:rFonts w:ascii="Arial" w:hAnsi="Arial" w:cs="Arial"/>
          <w:sz w:val="32"/>
          <w:szCs w:val="32"/>
        </w:rPr>
        <w:t xml:space="preserve">Atualmente a CET realiza apenas atividades de manutenção corretiva no parque semafórico, consistindo basicamente no diagnóstico de falhas e avarias nos equipamentos, realização de consertos e substituição de peças para a restauração da operação dos semáforos. As falhas podem ser reportadas por meio de solicitações </w:t>
      </w:r>
      <w:r w:rsidRPr="009277F7">
        <w:rPr>
          <w:rFonts w:ascii="Arial" w:hAnsi="Arial" w:cs="Arial"/>
          <w:sz w:val="32"/>
          <w:szCs w:val="32"/>
        </w:rPr>
        <w:lastRenderedPageBreak/>
        <w:t xml:space="preserve">externas (via canal de atendimento 1188 ou </w:t>
      </w:r>
      <w:r w:rsidR="00590487">
        <w:rPr>
          <w:rFonts w:ascii="Arial" w:hAnsi="Arial" w:cs="Arial"/>
          <w:sz w:val="32"/>
          <w:szCs w:val="32"/>
        </w:rPr>
        <w:t xml:space="preserve">pelo </w:t>
      </w:r>
      <w:r w:rsidRPr="009277F7">
        <w:rPr>
          <w:rFonts w:ascii="Arial" w:hAnsi="Arial" w:cs="Arial"/>
          <w:sz w:val="32"/>
          <w:szCs w:val="32"/>
        </w:rPr>
        <w:t>Portal SP156) realizadas por munícipes, instituições, imprensa etc. Mas também podem ser registradas por agentes da própria CET.</w:t>
      </w:r>
    </w:p>
    <w:p w14:paraId="6065A411" w14:textId="178181C3" w:rsidR="005F42B7" w:rsidRPr="009277F7" w:rsidRDefault="005F42B7" w:rsidP="009277F7">
      <w:pPr>
        <w:ind w:firstLine="1134"/>
        <w:jc w:val="both"/>
        <w:rPr>
          <w:rFonts w:ascii="Arial" w:hAnsi="Arial" w:cs="Arial"/>
          <w:sz w:val="32"/>
          <w:szCs w:val="32"/>
        </w:rPr>
      </w:pPr>
      <w:r w:rsidRPr="009277F7">
        <w:rPr>
          <w:rFonts w:ascii="Arial" w:hAnsi="Arial" w:cs="Arial"/>
          <w:sz w:val="32"/>
          <w:szCs w:val="32"/>
        </w:rPr>
        <w:t>Após o registro da falha pela Central de Operações da CET, a Gerência de Engenharia de Tráfego envia uma equipe ao local designado para verificar se a ocorrência procede. Em caso positivo, a Central de Operações comunica a Diretoria Adjunta de Sinalização e Tecnologia que é a responsável pelo envio de equipes específicas (agentes da própria CET ou de empresas terceirizadas) para fazer o diagnóstico exato da falha</w:t>
      </w:r>
      <w:r w:rsidR="003A0D04">
        <w:rPr>
          <w:rFonts w:ascii="Arial" w:hAnsi="Arial" w:cs="Arial"/>
          <w:sz w:val="32"/>
          <w:szCs w:val="32"/>
        </w:rPr>
        <w:t>,</w:t>
      </w:r>
      <w:r w:rsidRPr="009277F7">
        <w:rPr>
          <w:rFonts w:ascii="Arial" w:hAnsi="Arial" w:cs="Arial"/>
          <w:sz w:val="32"/>
          <w:szCs w:val="32"/>
        </w:rPr>
        <w:t xml:space="preserve"> bem como solucioná-la. </w:t>
      </w:r>
    </w:p>
    <w:p w14:paraId="66387A79" w14:textId="77777777" w:rsidR="00F505D7" w:rsidRDefault="005F42B7" w:rsidP="009277F7">
      <w:pPr>
        <w:ind w:firstLine="1134"/>
        <w:jc w:val="both"/>
        <w:rPr>
          <w:rFonts w:ascii="Arial" w:hAnsi="Arial" w:cs="Arial"/>
          <w:sz w:val="32"/>
          <w:szCs w:val="32"/>
        </w:rPr>
      </w:pPr>
      <w:r w:rsidRPr="009277F7">
        <w:rPr>
          <w:rFonts w:ascii="Arial" w:hAnsi="Arial" w:cs="Arial"/>
          <w:sz w:val="32"/>
          <w:szCs w:val="32"/>
        </w:rPr>
        <w:t>Essa Diretoria da CET é a responsável pelas atividades de manutenção do parque semafórico e realiza a gestão dos três contratos já especificados no preâmbulo deste voto, cujo objeto é a prestação de serviços de natureza contínua de manutenção dos equipamentos e infraestrutura dos sistemas de sinalização semafórica com fornecimento de materiais. Cabe à Diretoria Adjunta de Sinalização e Tráfego, também, a realização da fiscalização dos serviços prestados pelas contratadas por meio de procedimentos específicos previstos nos próprios ajustes e em vasto número de normativos internos da CET.</w:t>
      </w:r>
    </w:p>
    <w:p w14:paraId="3653FC1D" w14:textId="37C3B4BD" w:rsidR="005F42B7" w:rsidRPr="009277F7" w:rsidRDefault="005F42B7" w:rsidP="009277F7">
      <w:pPr>
        <w:ind w:firstLine="1134"/>
        <w:jc w:val="both"/>
        <w:rPr>
          <w:rFonts w:ascii="Arial" w:hAnsi="Arial" w:cs="Arial"/>
          <w:sz w:val="32"/>
          <w:szCs w:val="32"/>
        </w:rPr>
      </w:pPr>
      <w:r w:rsidRPr="009277F7">
        <w:rPr>
          <w:rFonts w:ascii="Arial" w:hAnsi="Arial" w:cs="Arial"/>
          <w:sz w:val="32"/>
          <w:szCs w:val="32"/>
        </w:rPr>
        <w:t>A CET também realiza manutenções por meio de equipes próprias gerid</w:t>
      </w:r>
      <w:r w:rsidR="006C3373">
        <w:rPr>
          <w:rFonts w:ascii="Arial" w:hAnsi="Arial" w:cs="Arial"/>
          <w:sz w:val="32"/>
          <w:szCs w:val="32"/>
        </w:rPr>
        <w:t>a</w:t>
      </w:r>
      <w:r w:rsidRPr="009277F7">
        <w:rPr>
          <w:rFonts w:ascii="Arial" w:hAnsi="Arial" w:cs="Arial"/>
          <w:sz w:val="32"/>
          <w:szCs w:val="32"/>
        </w:rPr>
        <w:t>s pelo Departamento de Engenharia de Campo da Sinalização 3. Essas manutenções são executadas a partir da mobilização de agentes da CET e de equipamentos disponíveis em seus estoques.</w:t>
      </w:r>
    </w:p>
    <w:p w14:paraId="4EFBB981" w14:textId="77777777" w:rsidR="00635CA3" w:rsidRPr="009277F7" w:rsidRDefault="00635CA3" w:rsidP="009277F7">
      <w:pPr>
        <w:ind w:firstLine="1134"/>
        <w:jc w:val="both"/>
        <w:rPr>
          <w:rFonts w:ascii="Arial" w:hAnsi="Arial" w:cs="Arial"/>
          <w:sz w:val="32"/>
          <w:szCs w:val="32"/>
        </w:rPr>
      </w:pPr>
      <w:r w:rsidRPr="009277F7">
        <w:rPr>
          <w:rFonts w:ascii="Arial" w:hAnsi="Arial" w:cs="Arial"/>
          <w:sz w:val="32"/>
          <w:szCs w:val="32"/>
        </w:rPr>
        <w:t xml:space="preserve">De acordo com o apurado pela Auditoria, não existem critérios normativos definidos para que as manutenções sejam realizadas por equipes próprias ou por equipes contratadas. Segundo informado pela CET, as equipes próprias costumam ser mobilizadas para atuar em </w:t>
      </w:r>
      <w:r w:rsidRPr="009277F7">
        <w:rPr>
          <w:rFonts w:ascii="Arial" w:hAnsi="Arial" w:cs="Arial"/>
          <w:sz w:val="32"/>
          <w:szCs w:val="32"/>
        </w:rPr>
        <w:lastRenderedPageBreak/>
        <w:t>problemas pontuais ou cuja solução requeira o consumo de materiais disponíveis nos estoques da empresa, ou ainda quando ocorrem picos de demanda para solução de falhas nos semáforos da cidade.</w:t>
      </w:r>
    </w:p>
    <w:p w14:paraId="2A0862F4" w14:textId="103F73AC" w:rsidR="00635CA3" w:rsidRPr="009277F7" w:rsidRDefault="00635CA3" w:rsidP="009277F7">
      <w:pPr>
        <w:ind w:firstLine="1134"/>
        <w:jc w:val="both"/>
        <w:rPr>
          <w:rFonts w:ascii="Arial" w:hAnsi="Arial" w:cs="Arial"/>
          <w:sz w:val="32"/>
          <w:szCs w:val="32"/>
        </w:rPr>
      </w:pPr>
      <w:r w:rsidRPr="009277F7">
        <w:rPr>
          <w:rFonts w:ascii="Arial" w:hAnsi="Arial" w:cs="Arial"/>
          <w:sz w:val="32"/>
          <w:szCs w:val="32"/>
        </w:rPr>
        <w:t xml:space="preserve">Dos diversos apontamentos feitos pela Auditoria, chama atenção a constatação de que </w:t>
      </w:r>
      <w:r w:rsidRPr="00C90CBB">
        <w:rPr>
          <w:rFonts w:ascii="Arial" w:hAnsi="Arial" w:cs="Arial"/>
          <w:b/>
          <w:bCs/>
          <w:sz w:val="32"/>
          <w:szCs w:val="32"/>
          <w:u w:val="single"/>
        </w:rPr>
        <w:t>não existem planos de manutenção preventiva</w:t>
      </w:r>
      <w:r w:rsidRPr="00C90CBB">
        <w:rPr>
          <w:rFonts w:ascii="Arial" w:hAnsi="Arial" w:cs="Arial"/>
          <w:b/>
          <w:bCs/>
          <w:sz w:val="32"/>
          <w:szCs w:val="32"/>
        </w:rPr>
        <w:t xml:space="preserve"> </w:t>
      </w:r>
      <w:r w:rsidRPr="00C90CBB">
        <w:rPr>
          <w:rFonts w:ascii="Arial" w:hAnsi="Arial" w:cs="Arial"/>
          <w:sz w:val="32"/>
          <w:szCs w:val="32"/>
        </w:rPr>
        <w:t>previstos para vistoriar</w:t>
      </w:r>
      <w:r w:rsidRPr="009277F7">
        <w:rPr>
          <w:rFonts w:ascii="Arial" w:hAnsi="Arial" w:cs="Arial"/>
          <w:sz w:val="32"/>
          <w:szCs w:val="32"/>
        </w:rPr>
        <w:t xml:space="preserve"> os equipamentos instalados e operantes, de forma a permitir a substituição de peças que apresentem desgastes causados pelo atingimento de sua vida útil, ou por outros fatores externos que comprometam sua integridade, ainda que não impeçam o funcionamento do conjunto semafórico como um todo.</w:t>
      </w:r>
    </w:p>
    <w:p w14:paraId="1EC9035C" w14:textId="75A39635" w:rsidR="009D4A90" w:rsidRPr="009277F7" w:rsidRDefault="00635CA3" w:rsidP="009277F7">
      <w:pPr>
        <w:ind w:firstLine="1134"/>
        <w:jc w:val="both"/>
        <w:rPr>
          <w:rFonts w:ascii="Arial" w:hAnsi="Arial" w:cs="Arial"/>
          <w:sz w:val="32"/>
          <w:szCs w:val="32"/>
        </w:rPr>
      </w:pPr>
      <w:r w:rsidRPr="009277F7">
        <w:rPr>
          <w:rFonts w:ascii="Arial" w:hAnsi="Arial" w:cs="Arial"/>
          <w:sz w:val="32"/>
          <w:szCs w:val="32"/>
        </w:rPr>
        <w:t xml:space="preserve">Nesse sentido, a Auditoria foi taxativa ao concluir que </w:t>
      </w:r>
      <w:r w:rsidRPr="00103D0D">
        <w:rPr>
          <w:rFonts w:ascii="Arial" w:hAnsi="Arial" w:cs="Arial"/>
          <w:b/>
          <w:bCs/>
          <w:i/>
          <w:sz w:val="32"/>
          <w:szCs w:val="32"/>
        </w:rPr>
        <w:t>“o parque semafórico não está coberto por ações de manutenção preventiva que permitam o diagnóstico de problemas e a substituição de peças ou equipamentos”</w:t>
      </w:r>
      <w:r w:rsidRPr="00103D0D">
        <w:rPr>
          <w:rFonts w:ascii="Arial" w:hAnsi="Arial" w:cs="Arial"/>
          <w:b/>
          <w:bCs/>
          <w:sz w:val="32"/>
          <w:szCs w:val="32"/>
        </w:rPr>
        <w:t>.</w:t>
      </w:r>
    </w:p>
    <w:p w14:paraId="2092964C" w14:textId="6EFEE6F7" w:rsidR="00635CA3" w:rsidRPr="009277F7" w:rsidRDefault="00914E9B" w:rsidP="009277F7">
      <w:pPr>
        <w:ind w:firstLine="1134"/>
        <w:jc w:val="both"/>
        <w:rPr>
          <w:rFonts w:ascii="Arial" w:hAnsi="Arial" w:cs="Arial"/>
          <w:sz w:val="32"/>
          <w:szCs w:val="32"/>
        </w:rPr>
      </w:pPr>
      <w:r w:rsidRPr="009277F7">
        <w:rPr>
          <w:rFonts w:ascii="Arial" w:hAnsi="Arial" w:cs="Arial"/>
          <w:sz w:val="32"/>
          <w:szCs w:val="32"/>
        </w:rPr>
        <w:t>No que toca à revitalização pela qual o parque semafórico passou ao longo dos anos, a Auditoria destacou que a sazonalidade, o alto grau de saturação de algumas vias e o surgimento constante de polos geradores de tráfego demandaram a construção de ferramentas de controle semafórico mais eficientes a fim de responderem com maior agilidade às interferências que afetam a circulação de veículos pelas ruas da cidade.</w:t>
      </w:r>
    </w:p>
    <w:p w14:paraId="329CAC17" w14:textId="330D8B58" w:rsidR="00914E9B" w:rsidRPr="009277F7" w:rsidRDefault="00914E9B" w:rsidP="009277F7">
      <w:pPr>
        <w:ind w:firstLine="1134"/>
        <w:jc w:val="both"/>
        <w:rPr>
          <w:rFonts w:ascii="Arial" w:hAnsi="Arial" w:cs="Arial"/>
          <w:sz w:val="32"/>
          <w:szCs w:val="32"/>
        </w:rPr>
      </w:pPr>
      <w:r w:rsidRPr="009277F7">
        <w:rPr>
          <w:rFonts w:ascii="Arial" w:hAnsi="Arial" w:cs="Arial"/>
          <w:sz w:val="32"/>
          <w:szCs w:val="32"/>
        </w:rPr>
        <w:t>Após a implantação das Centrais de Tráfego em Área (CTA), cerca de 1.000 semáforos passaram a operar com a tecnologia em tempo real. Por sua vez, em 2013 a Secretaria Municipal de Transportes (SMT) realizou a contratação de serviços de recuperação do sistema de sinalização semafórica, com fornecimento de materiais e</w:t>
      </w:r>
      <w:r w:rsidR="00C55D83">
        <w:rPr>
          <w:rFonts w:ascii="Arial" w:hAnsi="Arial" w:cs="Arial"/>
          <w:sz w:val="32"/>
          <w:szCs w:val="32"/>
        </w:rPr>
        <w:t>m</w:t>
      </w:r>
      <w:r w:rsidRPr="009277F7">
        <w:rPr>
          <w:rFonts w:ascii="Arial" w:hAnsi="Arial" w:cs="Arial"/>
          <w:sz w:val="32"/>
          <w:szCs w:val="32"/>
        </w:rPr>
        <w:t xml:space="preserve"> valor estimado em cerca de R$ 270 milhões para os 3 lotes de operação.</w:t>
      </w:r>
    </w:p>
    <w:p w14:paraId="3F82B6F6" w14:textId="32795B1F" w:rsidR="00914E9B" w:rsidRPr="009277F7" w:rsidRDefault="00914E9B" w:rsidP="009277F7">
      <w:pPr>
        <w:ind w:firstLine="1134"/>
        <w:jc w:val="both"/>
        <w:rPr>
          <w:rFonts w:ascii="Arial" w:hAnsi="Arial" w:cs="Arial"/>
          <w:sz w:val="32"/>
          <w:szCs w:val="32"/>
        </w:rPr>
      </w:pPr>
      <w:r w:rsidRPr="009277F7">
        <w:rPr>
          <w:rFonts w:ascii="Arial" w:hAnsi="Arial" w:cs="Arial"/>
          <w:sz w:val="32"/>
          <w:szCs w:val="32"/>
        </w:rPr>
        <w:lastRenderedPageBreak/>
        <w:t>Conforme apurou a Auditoria, apesar de ter ocorrid</w:t>
      </w:r>
      <w:r w:rsidR="008C422F">
        <w:rPr>
          <w:rFonts w:ascii="Arial" w:hAnsi="Arial" w:cs="Arial"/>
          <w:sz w:val="32"/>
          <w:szCs w:val="32"/>
        </w:rPr>
        <w:t>o</w:t>
      </w:r>
      <w:r w:rsidRPr="009277F7">
        <w:rPr>
          <w:rFonts w:ascii="Arial" w:hAnsi="Arial" w:cs="Arial"/>
          <w:sz w:val="32"/>
          <w:szCs w:val="32"/>
        </w:rPr>
        <w:t xml:space="preserve"> a revitalização dos 4.800 cruzamentos previstos inicialmente em contrato, observou-se uma deterioração do parque semafórico na cidade, sendo que em 2019 apenas 10 cruzamentos </w:t>
      </w:r>
      <w:r w:rsidRPr="005565AA">
        <w:rPr>
          <w:rFonts w:ascii="Arial" w:hAnsi="Arial" w:cs="Arial"/>
          <w:sz w:val="32"/>
          <w:szCs w:val="32"/>
        </w:rPr>
        <w:t>ainda opera</w:t>
      </w:r>
      <w:r w:rsidR="00143579" w:rsidRPr="005565AA">
        <w:rPr>
          <w:rFonts w:ascii="Arial" w:hAnsi="Arial" w:cs="Arial"/>
          <w:sz w:val="32"/>
          <w:szCs w:val="32"/>
        </w:rPr>
        <w:t>va</w:t>
      </w:r>
      <w:r w:rsidRPr="005565AA">
        <w:rPr>
          <w:rFonts w:ascii="Arial" w:hAnsi="Arial" w:cs="Arial"/>
          <w:sz w:val="32"/>
          <w:szCs w:val="32"/>
        </w:rPr>
        <w:t xml:space="preserve">m </w:t>
      </w:r>
      <w:r w:rsidRPr="009277F7">
        <w:rPr>
          <w:rFonts w:ascii="Arial" w:hAnsi="Arial" w:cs="Arial"/>
          <w:sz w:val="32"/>
          <w:szCs w:val="32"/>
        </w:rPr>
        <w:t xml:space="preserve">em tempo real. </w:t>
      </w:r>
    </w:p>
    <w:p w14:paraId="14B1D595" w14:textId="09561479" w:rsidR="00914E9B" w:rsidRPr="009277F7" w:rsidRDefault="00BB4B07" w:rsidP="009277F7">
      <w:pPr>
        <w:ind w:firstLine="1134"/>
        <w:jc w:val="both"/>
        <w:rPr>
          <w:rFonts w:ascii="Arial" w:hAnsi="Arial" w:cs="Arial"/>
          <w:sz w:val="32"/>
          <w:szCs w:val="32"/>
        </w:rPr>
      </w:pPr>
      <w:r w:rsidRPr="00D121C7">
        <w:rPr>
          <w:rFonts w:ascii="Arial" w:hAnsi="Arial" w:cs="Arial"/>
          <w:sz w:val="32"/>
          <w:szCs w:val="32"/>
        </w:rPr>
        <w:t>Desse modo,</w:t>
      </w:r>
      <w:r w:rsidR="00914E9B" w:rsidRPr="00D121C7">
        <w:rPr>
          <w:rFonts w:ascii="Arial" w:hAnsi="Arial" w:cs="Arial"/>
          <w:sz w:val="32"/>
          <w:szCs w:val="32"/>
        </w:rPr>
        <w:t xml:space="preserve"> </w:t>
      </w:r>
      <w:r w:rsidR="00914E9B" w:rsidRPr="009277F7">
        <w:rPr>
          <w:rFonts w:ascii="Arial" w:hAnsi="Arial" w:cs="Arial"/>
          <w:sz w:val="32"/>
          <w:szCs w:val="32"/>
        </w:rPr>
        <w:t xml:space="preserve">apesar de ter havido a revitalização semafórica, os controladores que foram instalados com o objetivo de aperfeiçoar a operação </w:t>
      </w:r>
      <w:r w:rsidR="003F6B0E" w:rsidRPr="009277F7">
        <w:rPr>
          <w:rFonts w:ascii="Arial" w:hAnsi="Arial" w:cs="Arial"/>
          <w:sz w:val="32"/>
          <w:szCs w:val="32"/>
        </w:rPr>
        <w:t xml:space="preserve">perderam </w:t>
      </w:r>
      <w:r w:rsidR="00914E9B" w:rsidRPr="009277F7">
        <w:rPr>
          <w:rFonts w:ascii="Arial" w:hAnsi="Arial" w:cs="Arial"/>
          <w:sz w:val="32"/>
          <w:szCs w:val="32"/>
        </w:rPr>
        <w:t>sua função principal e passaram a operar em tempo fixo</w:t>
      </w:r>
      <w:r w:rsidR="003F6B0E" w:rsidRPr="009277F7">
        <w:rPr>
          <w:rFonts w:ascii="Arial" w:hAnsi="Arial" w:cs="Arial"/>
          <w:sz w:val="32"/>
          <w:szCs w:val="32"/>
        </w:rPr>
        <w:t>.</w:t>
      </w:r>
    </w:p>
    <w:p w14:paraId="055B8348" w14:textId="77777777" w:rsidR="003F6B0E" w:rsidRPr="009277F7" w:rsidRDefault="003F6B0E" w:rsidP="009277F7">
      <w:pPr>
        <w:ind w:firstLine="1134"/>
        <w:jc w:val="both"/>
        <w:rPr>
          <w:rFonts w:ascii="Arial" w:hAnsi="Arial" w:cs="Arial"/>
          <w:sz w:val="32"/>
          <w:szCs w:val="32"/>
        </w:rPr>
      </w:pPr>
      <w:r w:rsidRPr="009277F7">
        <w:rPr>
          <w:rFonts w:ascii="Arial" w:hAnsi="Arial" w:cs="Arial"/>
          <w:sz w:val="32"/>
          <w:szCs w:val="32"/>
        </w:rPr>
        <w:t>A Auditoria constatou também que em maio de 2019, dos 5.903 cruzamentos semaforizados, 337 ainda operavam centralizados, ou seja, apenas 5,7% do total. Nesse modo de operação, os controladores de tráfego são ligados a um computador central que gerencia a operação conjunta dos equipamentos. O controle centralizado é utilizado para agilizar a operação do sistema de interseções semaforizadas, admitindo vários níveis de funcionamento.</w:t>
      </w:r>
    </w:p>
    <w:p w14:paraId="22C825F1" w14:textId="0BDB3749" w:rsidR="003F6B0E" w:rsidRPr="009277F7" w:rsidRDefault="003F6B0E" w:rsidP="009277F7">
      <w:pPr>
        <w:ind w:firstLine="1134"/>
        <w:jc w:val="both"/>
        <w:rPr>
          <w:rFonts w:ascii="Arial" w:hAnsi="Arial" w:cs="Arial"/>
          <w:sz w:val="32"/>
          <w:szCs w:val="32"/>
        </w:rPr>
      </w:pPr>
      <w:r w:rsidRPr="009277F7">
        <w:rPr>
          <w:rFonts w:ascii="Arial" w:hAnsi="Arial" w:cs="Arial"/>
          <w:sz w:val="32"/>
          <w:szCs w:val="32"/>
        </w:rPr>
        <w:t>A centralização semafórica é um requisito mínimo para a implantação da operação em tempo real, sendo que entre suas funcionalidades básicas estão a possibilidade de inserção de planos semafóricos e a monitoração do estado de funcionamento destes equipamentos. Assim, quando o sistema centralizado deixa de operar em tempos fixos e passa a atuar em tempo real</w:t>
      </w:r>
      <w:r w:rsidR="00D35E62">
        <w:rPr>
          <w:rFonts w:ascii="Arial" w:hAnsi="Arial" w:cs="Arial"/>
          <w:sz w:val="32"/>
          <w:szCs w:val="32"/>
        </w:rPr>
        <w:t xml:space="preserve">, </w:t>
      </w:r>
      <w:r w:rsidRPr="009277F7">
        <w:rPr>
          <w:rFonts w:ascii="Arial" w:hAnsi="Arial" w:cs="Arial"/>
          <w:sz w:val="32"/>
          <w:szCs w:val="32"/>
        </w:rPr>
        <w:t>é possível a coleta de dados do tráfego e o monitoramento das condições da circulação do trânsito.</w:t>
      </w:r>
    </w:p>
    <w:p w14:paraId="73645EA5" w14:textId="68C36DF6" w:rsidR="003F6B0E" w:rsidRPr="009277F7" w:rsidRDefault="00A64419" w:rsidP="009277F7">
      <w:pPr>
        <w:ind w:firstLine="1134"/>
        <w:jc w:val="both"/>
        <w:rPr>
          <w:rFonts w:ascii="Arial" w:hAnsi="Arial" w:cs="Arial"/>
          <w:sz w:val="32"/>
          <w:szCs w:val="32"/>
        </w:rPr>
      </w:pPr>
      <w:r w:rsidRPr="009C427E">
        <w:rPr>
          <w:rFonts w:ascii="Arial" w:hAnsi="Arial" w:cs="Arial"/>
          <w:sz w:val="32"/>
          <w:szCs w:val="32"/>
        </w:rPr>
        <w:t>Portanto</w:t>
      </w:r>
      <w:r w:rsidR="003F6B0E" w:rsidRPr="009C427E">
        <w:rPr>
          <w:rFonts w:ascii="Arial" w:hAnsi="Arial" w:cs="Arial"/>
          <w:sz w:val="32"/>
          <w:szCs w:val="32"/>
        </w:rPr>
        <w:t xml:space="preserve">, </w:t>
      </w:r>
      <w:r w:rsidR="003F6B0E" w:rsidRPr="009277F7">
        <w:rPr>
          <w:rFonts w:ascii="Arial" w:hAnsi="Arial" w:cs="Arial"/>
          <w:sz w:val="32"/>
          <w:szCs w:val="32"/>
        </w:rPr>
        <w:t>o controle centralizado facilita a gestão semafórica, permitindo modificações rápidas na programação da sinalização semafórica, reduzindo os transtornos ocasionados pelas diversas ocorrências que obstruem o sistema viário</w:t>
      </w:r>
      <w:r w:rsidR="00EA41DC">
        <w:rPr>
          <w:rFonts w:ascii="Arial" w:hAnsi="Arial" w:cs="Arial"/>
          <w:sz w:val="32"/>
          <w:szCs w:val="32"/>
        </w:rPr>
        <w:t xml:space="preserve"> (</w:t>
      </w:r>
      <w:r w:rsidR="003F6B0E" w:rsidRPr="009277F7">
        <w:rPr>
          <w:rFonts w:ascii="Arial" w:hAnsi="Arial" w:cs="Arial"/>
          <w:sz w:val="32"/>
          <w:szCs w:val="32"/>
        </w:rPr>
        <w:t>como colisões, veículos em pane, obras, desvios de tráfego etc</w:t>
      </w:r>
      <w:r w:rsidR="00EA41DC">
        <w:rPr>
          <w:rFonts w:ascii="Arial" w:hAnsi="Arial" w:cs="Arial"/>
          <w:sz w:val="32"/>
          <w:szCs w:val="32"/>
        </w:rPr>
        <w:t>)</w:t>
      </w:r>
      <w:r w:rsidR="003F6B0E" w:rsidRPr="009277F7">
        <w:rPr>
          <w:rFonts w:ascii="Arial" w:hAnsi="Arial" w:cs="Arial"/>
          <w:sz w:val="32"/>
          <w:szCs w:val="32"/>
        </w:rPr>
        <w:t xml:space="preserve">, </w:t>
      </w:r>
      <w:r w:rsidR="00243996" w:rsidRPr="009277F7">
        <w:rPr>
          <w:rFonts w:ascii="Arial" w:hAnsi="Arial" w:cs="Arial"/>
          <w:sz w:val="32"/>
          <w:szCs w:val="32"/>
        </w:rPr>
        <w:t>possibilitando também</w:t>
      </w:r>
      <w:r w:rsidR="003F6B0E" w:rsidRPr="009277F7">
        <w:rPr>
          <w:rFonts w:ascii="Arial" w:hAnsi="Arial" w:cs="Arial"/>
          <w:sz w:val="32"/>
          <w:szCs w:val="32"/>
        </w:rPr>
        <w:t xml:space="preserve"> que a programação semafórica seja aperfeiçoada </w:t>
      </w:r>
      <w:r w:rsidR="003F6B0E" w:rsidRPr="009277F7">
        <w:rPr>
          <w:rFonts w:ascii="Arial" w:hAnsi="Arial" w:cs="Arial"/>
          <w:sz w:val="32"/>
          <w:szCs w:val="32"/>
        </w:rPr>
        <w:lastRenderedPageBreak/>
        <w:t xml:space="preserve">sistematicamente, </w:t>
      </w:r>
      <w:r w:rsidR="00EA41DC" w:rsidRPr="009C427E">
        <w:rPr>
          <w:rFonts w:ascii="Arial" w:hAnsi="Arial" w:cs="Arial"/>
          <w:sz w:val="32"/>
          <w:szCs w:val="32"/>
        </w:rPr>
        <w:t>ocorra</w:t>
      </w:r>
      <w:r w:rsidR="003F6B0E" w:rsidRPr="009277F7">
        <w:rPr>
          <w:rFonts w:ascii="Arial" w:hAnsi="Arial" w:cs="Arial"/>
          <w:sz w:val="32"/>
          <w:szCs w:val="32"/>
        </w:rPr>
        <w:t xml:space="preserve"> </w:t>
      </w:r>
      <w:r w:rsidR="00EA41DC">
        <w:rPr>
          <w:rFonts w:ascii="Arial" w:hAnsi="Arial" w:cs="Arial"/>
          <w:sz w:val="32"/>
          <w:szCs w:val="32"/>
        </w:rPr>
        <w:t xml:space="preserve">uma </w:t>
      </w:r>
      <w:r w:rsidR="003F6B0E" w:rsidRPr="009277F7">
        <w:rPr>
          <w:rFonts w:ascii="Arial" w:hAnsi="Arial" w:cs="Arial"/>
          <w:sz w:val="32"/>
          <w:szCs w:val="32"/>
        </w:rPr>
        <w:t>rápida identificação de falhas no funcionamento dos equipamentos e, por conseguinte, o atendimento mais eficiente das equipes de manutenção.</w:t>
      </w:r>
    </w:p>
    <w:p w14:paraId="6C8FE6CF" w14:textId="07A0ABD7" w:rsidR="00243996" w:rsidRPr="009277F7" w:rsidRDefault="00243996" w:rsidP="009277F7">
      <w:pPr>
        <w:ind w:firstLine="1134"/>
        <w:jc w:val="both"/>
        <w:rPr>
          <w:rFonts w:ascii="Arial" w:hAnsi="Arial" w:cs="Arial"/>
          <w:sz w:val="32"/>
          <w:szCs w:val="32"/>
        </w:rPr>
      </w:pPr>
      <w:r w:rsidRPr="009277F7">
        <w:rPr>
          <w:rFonts w:ascii="Arial" w:hAnsi="Arial" w:cs="Arial"/>
          <w:sz w:val="32"/>
          <w:szCs w:val="32"/>
        </w:rPr>
        <w:t>A baixa quantidade de semáforos que operam com essa tecnologia deve-se</w:t>
      </w:r>
      <w:r w:rsidR="008A5EA7">
        <w:rPr>
          <w:rFonts w:ascii="Arial" w:hAnsi="Arial" w:cs="Arial"/>
          <w:sz w:val="32"/>
          <w:szCs w:val="32"/>
        </w:rPr>
        <w:t>,</w:t>
      </w:r>
      <w:r w:rsidRPr="009277F7">
        <w:rPr>
          <w:rFonts w:ascii="Arial" w:hAnsi="Arial" w:cs="Arial"/>
          <w:sz w:val="32"/>
          <w:szCs w:val="32"/>
        </w:rPr>
        <w:t xml:space="preserve"> em grande medida</w:t>
      </w:r>
      <w:r w:rsidR="008A5EA7">
        <w:rPr>
          <w:rFonts w:ascii="Arial" w:hAnsi="Arial" w:cs="Arial"/>
          <w:sz w:val="32"/>
          <w:szCs w:val="32"/>
        </w:rPr>
        <w:t>,</w:t>
      </w:r>
      <w:r w:rsidRPr="009277F7">
        <w:rPr>
          <w:rFonts w:ascii="Arial" w:hAnsi="Arial" w:cs="Arial"/>
          <w:sz w:val="32"/>
          <w:szCs w:val="32"/>
        </w:rPr>
        <w:t xml:space="preserve"> à rede de fibra ótica que interliga os equipamentos entre si, aos sensores instalados na pista e às centrais de controle </w:t>
      </w:r>
      <w:r w:rsidR="008A5EA7" w:rsidRPr="009C427E">
        <w:rPr>
          <w:rFonts w:ascii="Arial" w:hAnsi="Arial" w:cs="Arial"/>
          <w:sz w:val="32"/>
          <w:szCs w:val="32"/>
        </w:rPr>
        <w:t xml:space="preserve">– que </w:t>
      </w:r>
      <w:r w:rsidRPr="009277F7">
        <w:rPr>
          <w:rFonts w:ascii="Arial" w:hAnsi="Arial" w:cs="Arial"/>
          <w:sz w:val="32"/>
          <w:szCs w:val="32"/>
        </w:rPr>
        <w:t xml:space="preserve">tem apenas 120 km de extensão e mais de 20 anos de uso. A pequena extensão da rede de fibra ótica e a defasagem tecnológica limitam o campo de monitoração das vias, o que implica baixa agilidade para responder a qualquer problema </w:t>
      </w:r>
      <w:r w:rsidRPr="00381A71">
        <w:rPr>
          <w:rFonts w:ascii="Arial" w:hAnsi="Arial" w:cs="Arial"/>
          <w:sz w:val="32"/>
          <w:szCs w:val="32"/>
        </w:rPr>
        <w:t xml:space="preserve">nas </w:t>
      </w:r>
      <w:r w:rsidR="008A5EA7" w:rsidRPr="00381A71">
        <w:rPr>
          <w:rFonts w:ascii="Arial" w:hAnsi="Arial" w:cs="Arial"/>
          <w:sz w:val="32"/>
          <w:szCs w:val="32"/>
        </w:rPr>
        <w:t xml:space="preserve">vias, tais </w:t>
      </w:r>
      <w:r w:rsidRPr="00381A71">
        <w:rPr>
          <w:rFonts w:ascii="Arial" w:hAnsi="Arial" w:cs="Arial"/>
          <w:sz w:val="32"/>
          <w:szCs w:val="32"/>
        </w:rPr>
        <w:t xml:space="preserve">como </w:t>
      </w:r>
      <w:r w:rsidRPr="009277F7">
        <w:rPr>
          <w:rFonts w:ascii="Arial" w:hAnsi="Arial" w:cs="Arial"/>
          <w:sz w:val="32"/>
          <w:szCs w:val="32"/>
        </w:rPr>
        <w:t>acidentes, quebra de veículo ou alagamento</w:t>
      </w:r>
      <w:r w:rsidR="0072230E" w:rsidRPr="009277F7">
        <w:rPr>
          <w:rFonts w:ascii="Arial" w:hAnsi="Arial" w:cs="Arial"/>
          <w:sz w:val="32"/>
          <w:szCs w:val="32"/>
        </w:rPr>
        <w:t>.</w:t>
      </w:r>
    </w:p>
    <w:p w14:paraId="6796919A" w14:textId="315A0625" w:rsidR="00F90193" w:rsidRPr="009277F7" w:rsidRDefault="0072230E" w:rsidP="009277F7">
      <w:pPr>
        <w:ind w:firstLine="1134"/>
        <w:jc w:val="both"/>
        <w:rPr>
          <w:rFonts w:ascii="Arial" w:hAnsi="Arial" w:cs="Arial"/>
          <w:sz w:val="32"/>
          <w:szCs w:val="32"/>
        </w:rPr>
      </w:pPr>
      <w:r w:rsidRPr="009277F7">
        <w:rPr>
          <w:rFonts w:ascii="Arial" w:hAnsi="Arial" w:cs="Arial"/>
          <w:sz w:val="32"/>
          <w:szCs w:val="32"/>
        </w:rPr>
        <w:t xml:space="preserve">As constatações até aqui aduzidas permitem uma visão clara da defasagem operacional e tecnológica do parque semafórico na cidade, conduzindo </w:t>
      </w:r>
      <w:r w:rsidR="002C13F8" w:rsidRPr="00381A71">
        <w:rPr>
          <w:rFonts w:ascii="Arial" w:hAnsi="Arial" w:cs="Arial"/>
          <w:sz w:val="32"/>
          <w:szCs w:val="32"/>
        </w:rPr>
        <w:t>à</w:t>
      </w:r>
      <w:r w:rsidRPr="009277F7">
        <w:rPr>
          <w:rFonts w:ascii="Arial" w:hAnsi="Arial" w:cs="Arial"/>
          <w:sz w:val="32"/>
          <w:szCs w:val="32"/>
        </w:rPr>
        <w:t xml:space="preserve"> inafastável conclusão quanto à necessidade de modificação do atual cenário por meio da modernização </w:t>
      </w:r>
      <w:r w:rsidR="00F90193" w:rsidRPr="009277F7">
        <w:rPr>
          <w:rFonts w:ascii="Arial" w:hAnsi="Arial" w:cs="Arial"/>
          <w:sz w:val="32"/>
          <w:szCs w:val="32"/>
        </w:rPr>
        <w:t xml:space="preserve">dos semáforos e da gestão do viário urbano, conforme, inclusive, estabelece o </w:t>
      </w:r>
      <w:r w:rsidR="00F90193" w:rsidRPr="00381A71">
        <w:rPr>
          <w:rFonts w:ascii="Arial" w:hAnsi="Arial" w:cs="Arial"/>
          <w:sz w:val="32"/>
          <w:szCs w:val="32"/>
        </w:rPr>
        <w:t>P</w:t>
      </w:r>
      <w:r w:rsidR="005A6EEB" w:rsidRPr="00381A71">
        <w:rPr>
          <w:rFonts w:ascii="Arial" w:hAnsi="Arial" w:cs="Arial"/>
          <w:sz w:val="32"/>
          <w:szCs w:val="32"/>
        </w:rPr>
        <w:t>l</w:t>
      </w:r>
      <w:r w:rsidR="00F90193" w:rsidRPr="00381A71">
        <w:rPr>
          <w:rFonts w:ascii="Arial" w:hAnsi="Arial" w:cs="Arial"/>
          <w:sz w:val="32"/>
          <w:szCs w:val="32"/>
        </w:rPr>
        <w:t xml:space="preserve">ano </w:t>
      </w:r>
      <w:r w:rsidR="00F90193" w:rsidRPr="009277F7">
        <w:rPr>
          <w:rFonts w:ascii="Arial" w:hAnsi="Arial" w:cs="Arial"/>
          <w:sz w:val="32"/>
          <w:szCs w:val="32"/>
        </w:rPr>
        <w:t>Diretor Estratégico (PDE) da cidade de São Paulo, que em seu artigo 245 prevê a elaboração de planos semafóricos e de comunicação com controladores para viabilizar a fluidez no trânsito</w:t>
      </w:r>
      <w:r w:rsidR="000E1841">
        <w:rPr>
          <w:rFonts w:ascii="Arial" w:hAnsi="Arial" w:cs="Arial"/>
          <w:sz w:val="32"/>
          <w:szCs w:val="32"/>
        </w:rPr>
        <w:t>,</w:t>
      </w:r>
      <w:r w:rsidR="00F90193" w:rsidRPr="009277F7">
        <w:rPr>
          <w:rFonts w:ascii="Arial" w:hAnsi="Arial" w:cs="Arial"/>
          <w:sz w:val="32"/>
          <w:szCs w:val="32"/>
        </w:rPr>
        <w:t xml:space="preserve"> com priorização para o transporte público coletivo.</w:t>
      </w:r>
      <w:r w:rsidR="00F90193" w:rsidRPr="009277F7">
        <w:rPr>
          <w:rFonts w:ascii="Arial" w:hAnsi="Arial" w:cs="Arial"/>
          <w:sz w:val="32"/>
          <w:szCs w:val="32"/>
        </w:rPr>
        <w:cr/>
      </w:r>
    </w:p>
    <w:p w14:paraId="165CAB45" w14:textId="77777777" w:rsidR="00C8213D" w:rsidRPr="009277F7" w:rsidRDefault="00C8213D" w:rsidP="00F90193">
      <w:pPr>
        <w:jc w:val="both"/>
        <w:rPr>
          <w:rFonts w:ascii="Arial" w:hAnsi="Arial" w:cs="Arial"/>
          <w:b/>
          <w:sz w:val="32"/>
          <w:szCs w:val="32"/>
        </w:rPr>
      </w:pPr>
      <w:r w:rsidRPr="009277F7">
        <w:rPr>
          <w:rFonts w:ascii="Arial" w:hAnsi="Arial" w:cs="Arial"/>
          <w:b/>
          <w:sz w:val="32"/>
          <w:szCs w:val="32"/>
        </w:rPr>
        <w:t xml:space="preserve">1.2 – Modernização e inovação tecnológica como premissa </w:t>
      </w:r>
    </w:p>
    <w:p w14:paraId="7C23463D" w14:textId="77777777" w:rsidR="00C8213D" w:rsidRPr="009277F7" w:rsidRDefault="00C8213D" w:rsidP="00F90193">
      <w:pPr>
        <w:jc w:val="both"/>
        <w:rPr>
          <w:rFonts w:ascii="Arial" w:hAnsi="Arial" w:cs="Arial"/>
          <w:sz w:val="32"/>
          <w:szCs w:val="32"/>
        </w:rPr>
      </w:pPr>
    </w:p>
    <w:p w14:paraId="704A79A2" w14:textId="6BD80737" w:rsidR="009B7707" w:rsidRPr="009277F7" w:rsidRDefault="00C8213D" w:rsidP="009277F7">
      <w:pPr>
        <w:ind w:firstLine="1134"/>
        <w:jc w:val="both"/>
        <w:rPr>
          <w:rFonts w:ascii="Arial" w:hAnsi="Arial" w:cs="Arial"/>
          <w:sz w:val="32"/>
          <w:szCs w:val="32"/>
        </w:rPr>
      </w:pPr>
      <w:r w:rsidRPr="009277F7">
        <w:rPr>
          <w:rFonts w:ascii="Arial" w:hAnsi="Arial" w:cs="Arial"/>
          <w:sz w:val="32"/>
          <w:szCs w:val="32"/>
        </w:rPr>
        <w:t>A</w:t>
      </w:r>
      <w:r w:rsidR="00F90193" w:rsidRPr="009277F7">
        <w:rPr>
          <w:rFonts w:ascii="Arial" w:hAnsi="Arial" w:cs="Arial"/>
          <w:sz w:val="32"/>
          <w:szCs w:val="32"/>
        </w:rPr>
        <w:t xml:space="preserve"> análise a ser empreendida por esta Corte de Contas</w:t>
      </w:r>
      <w:r w:rsidR="009B7707" w:rsidRPr="009277F7">
        <w:rPr>
          <w:rFonts w:ascii="Arial" w:hAnsi="Arial" w:cs="Arial"/>
          <w:sz w:val="32"/>
          <w:szCs w:val="32"/>
        </w:rPr>
        <w:t xml:space="preserve"> quanto à matéria em discussão nestes autos deve levar em consideração</w:t>
      </w:r>
      <w:r w:rsidR="00F90193" w:rsidRPr="009277F7">
        <w:rPr>
          <w:rFonts w:ascii="Arial" w:hAnsi="Arial" w:cs="Arial"/>
          <w:sz w:val="32"/>
          <w:szCs w:val="32"/>
        </w:rPr>
        <w:t xml:space="preserve"> além dos aspectos técnicos relacionados à legalidade, economicidad</w:t>
      </w:r>
      <w:r w:rsidR="009B7707" w:rsidRPr="009277F7">
        <w:rPr>
          <w:rFonts w:ascii="Arial" w:hAnsi="Arial" w:cs="Arial"/>
          <w:sz w:val="32"/>
          <w:szCs w:val="32"/>
        </w:rPr>
        <w:t xml:space="preserve">e, sinergia operacional etc, também </w:t>
      </w:r>
      <w:r w:rsidR="00F90193" w:rsidRPr="009277F7">
        <w:rPr>
          <w:rFonts w:ascii="Arial" w:hAnsi="Arial" w:cs="Arial"/>
          <w:sz w:val="32"/>
          <w:szCs w:val="32"/>
        </w:rPr>
        <w:t xml:space="preserve">se a solução apresentada pela </w:t>
      </w:r>
      <w:r w:rsidR="00F90193" w:rsidRPr="009277F7">
        <w:rPr>
          <w:rFonts w:ascii="Arial" w:hAnsi="Arial" w:cs="Arial"/>
          <w:sz w:val="32"/>
          <w:szCs w:val="32"/>
        </w:rPr>
        <w:lastRenderedPageBreak/>
        <w:t>Administração se mostra como a melhor para</w:t>
      </w:r>
      <w:r w:rsidR="009B7707" w:rsidRPr="009277F7">
        <w:rPr>
          <w:rFonts w:ascii="Arial" w:hAnsi="Arial" w:cs="Arial"/>
          <w:sz w:val="32"/>
          <w:szCs w:val="32"/>
        </w:rPr>
        <w:t xml:space="preserve"> corrigir</w:t>
      </w:r>
      <w:r w:rsidR="00F90193" w:rsidRPr="009277F7">
        <w:rPr>
          <w:rFonts w:ascii="Arial" w:hAnsi="Arial" w:cs="Arial"/>
          <w:sz w:val="32"/>
          <w:szCs w:val="32"/>
        </w:rPr>
        <w:t xml:space="preserve"> os graves problemas atualmente presentes no sistema semafórico</w:t>
      </w:r>
      <w:r w:rsidR="009B7707" w:rsidRPr="009277F7">
        <w:rPr>
          <w:rFonts w:ascii="Arial" w:hAnsi="Arial" w:cs="Arial"/>
          <w:sz w:val="32"/>
          <w:szCs w:val="32"/>
        </w:rPr>
        <w:t xml:space="preserve"> da cidade e, ao mesmo tempo, </w:t>
      </w:r>
      <w:r w:rsidR="00F90193" w:rsidRPr="009277F7">
        <w:rPr>
          <w:rFonts w:ascii="Arial" w:hAnsi="Arial" w:cs="Arial"/>
          <w:sz w:val="32"/>
          <w:szCs w:val="32"/>
        </w:rPr>
        <w:t>agreg</w:t>
      </w:r>
      <w:r w:rsidR="009B7707" w:rsidRPr="009277F7">
        <w:rPr>
          <w:rFonts w:ascii="Arial" w:hAnsi="Arial" w:cs="Arial"/>
          <w:sz w:val="32"/>
          <w:szCs w:val="32"/>
        </w:rPr>
        <w:t>ar</w:t>
      </w:r>
      <w:r w:rsidR="00F90193" w:rsidRPr="009277F7">
        <w:rPr>
          <w:rFonts w:ascii="Arial" w:hAnsi="Arial" w:cs="Arial"/>
          <w:sz w:val="32"/>
          <w:szCs w:val="32"/>
        </w:rPr>
        <w:t xml:space="preserve"> uma visão de futuro para a gestão do viário urbano</w:t>
      </w:r>
      <w:r w:rsidR="00AA2F05" w:rsidRPr="009277F7">
        <w:rPr>
          <w:rFonts w:ascii="Arial" w:hAnsi="Arial" w:cs="Arial"/>
          <w:sz w:val="32"/>
          <w:szCs w:val="32"/>
        </w:rPr>
        <w:t xml:space="preserve"> na Cidade,</w:t>
      </w:r>
      <w:r w:rsidR="00F90193" w:rsidRPr="009277F7">
        <w:rPr>
          <w:rFonts w:ascii="Arial" w:hAnsi="Arial" w:cs="Arial"/>
          <w:sz w:val="32"/>
          <w:szCs w:val="32"/>
        </w:rPr>
        <w:t xml:space="preserve"> centrada na inovação tecnológica</w:t>
      </w:r>
      <w:r w:rsidR="009B7707" w:rsidRPr="009277F7">
        <w:rPr>
          <w:rFonts w:ascii="Arial" w:hAnsi="Arial" w:cs="Arial"/>
          <w:sz w:val="32"/>
          <w:szCs w:val="32"/>
        </w:rPr>
        <w:t xml:space="preserve"> e na sofisticação dos meios de transportes que, com a implementação, por exemplo, da tecnologia 5G passarão a </w:t>
      </w:r>
      <w:r w:rsidR="00AA2F05" w:rsidRPr="009277F7">
        <w:rPr>
          <w:rFonts w:ascii="Arial" w:hAnsi="Arial" w:cs="Arial"/>
          <w:sz w:val="32"/>
          <w:szCs w:val="32"/>
        </w:rPr>
        <w:t>ser cada vez maiores</w:t>
      </w:r>
      <w:r w:rsidR="009B7707" w:rsidRPr="009277F7">
        <w:rPr>
          <w:rFonts w:ascii="Arial" w:hAnsi="Arial" w:cs="Arial"/>
          <w:sz w:val="32"/>
          <w:szCs w:val="32"/>
        </w:rPr>
        <w:t>.</w:t>
      </w:r>
    </w:p>
    <w:p w14:paraId="74293635" w14:textId="46CCE644" w:rsidR="00F90193" w:rsidRPr="009277F7" w:rsidRDefault="009B7707" w:rsidP="009277F7">
      <w:pPr>
        <w:ind w:firstLine="1134"/>
        <w:jc w:val="both"/>
        <w:rPr>
          <w:rFonts w:ascii="Arial" w:hAnsi="Arial" w:cs="Arial"/>
          <w:sz w:val="32"/>
          <w:szCs w:val="32"/>
        </w:rPr>
      </w:pPr>
      <w:r w:rsidRPr="009277F7">
        <w:rPr>
          <w:rFonts w:ascii="Arial" w:hAnsi="Arial" w:cs="Arial"/>
          <w:sz w:val="32"/>
          <w:szCs w:val="32"/>
        </w:rPr>
        <w:t xml:space="preserve">Para tanto, é importante ter claro que a solução a ser encontrada deve dialogar, inclusive, com o conceito de </w:t>
      </w:r>
      <w:r w:rsidRPr="00E06F7A">
        <w:rPr>
          <w:rFonts w:ascii="Arial" w:hAnsi="Arial" w:cs="Arial"/>
          <w:sz w:val="32"/>
          <w:szCs w:val="32"/>
        </w:rPr>
        <w:t>Smart Cit</w:t>
      </w:r>
      <w:r w:rsidR="00E06F7A">
        <w:rPr>
          <w:rFonts w:ascii="Arial" w:hAnsi="Arial" w:cs="Arial"/>
          <w:sz w:val="32"/>
          <w:szCs w:val="32"/>
        </w:rPr>
        <w:t>y</w:t>
      </w:r>
      <w:r w:rsidRPr="009277F7">
        <w:rPr>
          <w:rFonts w:ascii="Arial" w:hAnsi="Arial" w:cs="Arial"/>
          <w:sz w:val="32"/>
          <w:szCs w:val="32"/>
        </w:rPr>
        <w:t>, tema que foi objeto de reflexão desta Corte quando do exame do edital do procedimento licitatório que resultou no contrato da PPP da Iluminação Pública.</w:t>
      </w:r>
    </w:p>
    <w:p w14:paraId="6C1180EB" w14:textId="77777777" w:rsidR="006623DE" w:rsidRPr="009277F7" w:rsidRDefault="009B7707" w:rsidP="009277F7">
      <w:pPr>
        <w:ind w:firstLine="1134"/>
        <w:jc w:val="both"/>
        <w:rPr>
          <w:rFonts w:ascii="Arial" w:hAnsi="Arial" w:cs="Arial"/>
          <w:sz w:val="32"/>
          <w:szCs w:val="32"/>
        </w:rPr>
      </w:pPr>
      <w:bookmarkStart w:id="0" w:name="_Hlk110775819"/>
      <w:r w:rsidRPr="009277F7">
        <w:rPr>
          <w:rFonts w:ascii="Arial" w:hAnsi="Arial" w:cs="Arial"/>
          <w:sz w:val="32"/>
          <w:szCs w:val="32"/>
        </w:rPr>
        <w:t xml:space="preserve">Nos últimos anos, a chamada cidade inteligente, ou Smart City, se transformou em assunto de grande relevância nas discussões sobre o desenvolvimento urbano sustentável, no Brasil e no mundo. Ao mesmo tempo em que o conceito de cidade inteligente é uma oportunidade inédita para elevar a qualidade de vida e a competividade das cidades brasileiras, para os gestores públicos ele se coloca também como um grande desafio. </w:t>
      </w:r>
    </w:p>
    <w:p w14:paraId="768BA656" w14:textId="77777777" w:rsidR="009B7707" w:rsidRPr="009277F7" w:rsidRDefault="009B7707" w:rsidP="009277F7">
      <w:pPr>
        <w:ind w:firstLine="1134"/>
        <w:jc w:val="both"/>
        <w:rPr>
          <w:rFonts w:ascii="Arial" w:hAnsi="Arial" w:cs="Arial"/>
          <w:sz w:val="32"/>
          <w:szCs w:val="32"/>
        </w:rPr>
      </w:pPr>
      <w:r w:rsidRPr="009277F7">
        <w:rPr>
          <w:rFonts w:ascii="Arial" w:hAnsi="Arial" w:cs="Arial"/>
          <w:sz w:val="32"/>
          <w:szCs w:val="32"/>
        </w:rPr>
        <w:t>A evolução para uma cidade mais inteligente</w:t>
      </w:r>
      <w:r w:rsidR="006623DE" w:rsidRPr="009277F7">
        <w:rPr>
          <w:rFonts w:ascii="Arial" w:hAnsi="Arial" w:cs="Arial"/>
          <w:sz w:val="32"/>
          <w:szCs w:val="32"/>
        </w:rPr>
        <w:t xml:space="preserve"> impõe a adoção de</w:t>
      </w:r>
      <w:r w:rsidRPr="009277F7">
        <w:rPr>
          <w:rFonts w:ascii="Arial" w:hAnsi="Arial" w:cs="Arial"/>
          <w:sz w:val="32"/>
          <w:szCs w:val="32"/>
        </w:rPr>
        <w:t xml:space="preserve"> uma visão </w:t>
      </w:r>
      <w:r w:rsidR="006623DE" w:rsidRPr="009277F7">
        <w:rPr>
          <w:rFonts w:ascii="Arial" w:hAnsi="Arial" w:cs="Arial"/>
          <w:sz w:val="32"/>
          <w:szCs w:val="32"/>
        </w:rPr>
        <w:t>sistêmica</w:t>
      </w:r>
      <w:r w:rsidRPr="009277F7">
        <w:rPr>
          <w:rFonts w:ascii="Arial" w:hAnsi="Arial" w:cs="Arial"/>
          <w:sz w:val="32"/>
          <w:szCs w:val="32"/>
        </w:rPr>
        <w:t xml:space="preserve"> do espaço urbano</w:t>
      </w:r>
      <w:r w:rsidR="006623DE" w:rsidRPr="009277F7">
        <w:rPr>
          <w:rFonts w:ascii="Arial" w:hAnsi="Arial" w:cs="Arial"/>
          <w:sz w:val="32"/>
          <w:szCs w:val="32"/>
        </w:rPr>
        <w:t>, que priorize a</w:t>
      </w:r>
      <w:r w:rsidRPr="009277F7">
        <w:rPr>
          <w:rFonts w:ascii="Arial" w:hAnsi="Arial" w:cs="Arial"/>
          <w:sz w:val="32"/>
          <w:szCs w:val="32"/>
        </w:rPr>
        <w:t xml:space="preserve"> integração efetiva dos vários atores e setores </w:t>
      </w:r>
      <w:r w:rsidR="006623DE" w:rsidRPr="009277F7">
        <w:rPr>
          <w:rFonts w:ascii="Arial" w:hAnsi="Arial" w:cs="Arial"/>
          <w:sz w:val="32"/>
          <w:szCs w:val="32"/>
        </w:rPr>
        <w:t>da cidade</w:t>
      </w:r>
      <w:r w:rsidRPr="009277F7">
        <w:rPr>
          <w:rFonts w:ascii="Arial" w:hAnsi="Arial" w:cs="Arial"/>
          <w:sz w:val="32"/>
          <w:szCs w:val="32"/>
        </w:rPr>
        <w:t xml:space="preserve">. </w:t>
      </w:r>
      <w:r w:rsidR="006623DE" w:rsidRPr="009277F7">
        <w:rPr>
          <w:rFonts w:ascii="Arial" w:hAnsi="Arial" w:cs="Arial"/>
          <w:sz w:val="32"/>
          <w:szCs w:val="32"/>
        </w:rPr>
        <w:t xml:space="preserve">Para tanto, é necessário que as contratações e investimentos da Administração Pública priorizem soluções que tragam em si </w:t>
      </w:r>
      <w:r w:rsidRPr="009277F7">
        <w:rPr>
          <w:rFonts w:ascii="Arial" w:hAnsi="Arial" w:cs="Arial"/>
          <w:sz w:val="32"/>
          <w:szCs w:val="32"/>
        </w:rPr>
        <w:t>inovação tecnológica</w:t>
      </w:r>
      <w:r w:rsidR="00E22DEF" w:rsidRPr="009277F7">
        <w:rPr>
          <w:rFonts w:ascii="Arial" w:hAnsi="Arial" w:cs="Arial"/>
          <w:sz w:val="32"/>
          <w:szCs w:val="32"/>
        </w:rPr>
        <w:t xml:space="preserve"> e um olhar de futuro </w:t>
      </w:r>
      <w:r w:rsidRPr="009277F7">
        <w:rPr>
          <w:rFonts w:ascii="Arial" w:hAnsi="Arial" w:cs="Arial"/>
          <w:sz w:val="32"/>
          <w:szCs w:val="32"/>
        </w:rPr>
        <w:t>no modelo de governança</w:t>
      </w:r>
      <w:r w:rsidR="00E22DEF" w:rsidRPr="009277F7">
        <w:rPr>
          <w:rFonts w:ascii="Arial" w:hAnsi="Arial" w:cs="Arial"/>
          <w:sz w:val="32"/>
          <w:szCs w:val="32"/>
        </w:rPr>
        <w:t>, planejamento e</w:t>
      </w:r>
      <w:r w:rsidRPr="009277F7">
        <w:rPr>
          <w:rFonts w:ascii="Arial" w:hAnsi="Arial" w:cs="Arial"/>
          <w:sz w:val="32"/>
          <w:szCs w:val="32"/>
        </w:rPr>
        <w:t xml:space="preserve"> desenvolvimento d</w:t>
      </w:r>
      <w:r w:rsidR="00E22DEF" w:rsidRPr="009277F7">
        <w:rPr>
          <w:rFonts w:ascii="Arial" w:hAnsi="Arial" w:cs="Arial"/>
          <w:sz w:val="32"/>
          <w:szCs w:val="32"/>
        </w:rPr>
        <w:t>as</w:t>
      </w:r>
      <w:r w:rsidRPr="009277F7">
        <w:rPr>
          <w:rFonts w:ascii="Arial" w:hAnsi="Arial" w:cs="Arial"/>
          <w:sz w:val="32"/>
          <w:szCs w:val="32"/>
        </w:rPr>
        <w:t xml:space="preserve"> políticas públicas.</w:t>
      </w:r>
    </w:p>
    <w:bookmarkEnd w:id="0"/>
    <w:p w14:paraId="667931E4" w14:textId="77777777" w:rsidR="00592DC9" w:rsidRPr="009277F7" w:rsidRDefault="00C8213D" w:rsidP="009277F7">
      <w:pPr>
        <w:ind w:firstLine="1134"/>
        <w:jc w:val="both"/>
        <w:rPr>
          <w:rFonts w:ascii="Arial" w:hAnsi="Arial" w:cs="Arial"/>
          <w:sz w:val="32"/>
          <w:szCs w:val="32"/>
        </w:rPr>
      </w:pPr>
      <w:r w:rsidRPr="009277F7">
        <w:rPr>
          <w:rFonts w:ascii="Arial" w:hAnsi="Arial" w:cs="Arial"/>
          <w:sz w:val="32"/>
          <w:szCs w:val="32"/>
        </w:rPr>
        <w:t xml:space="preserve">Nesse aspecto, a adoção da tecnologia 5G, que passou a operar oficialmente na cidade de São Paulo na última quinta-feira (04.08), com a instalação já efetuada de 1.378 antenas de 5G no município, tem impacto significativo </w:t>
      </w:r>
      <w:r w:rsidR="00592DC9" w:rsidRPr="009277F7">
        <w:rPr>
          <w:rFonts w:ascii="Arial" w:hAnsi="Arial" w:cs="Arial"/>
          <w:sz w:val="32"/>
          <w:szCs w:val="32"/>
        </w:rPr>
        <w:t xml:space="preserve">na concretização do conceito de cidade inteligente. </w:t>
      </w:r>
    </w:p>
    <w:p w14:paraId="527BF362" w14:textId="77777777" w:rsidR="00592DC9" w:rsidRPr="009277F7" w:rsidRDefault="00592DC9" w:rsidP="009277F7">
      <w:pPr>
        <w:ind w:firstLine="1134"/>
        <w:jc w:val="both"/>
        <w:rPr>
          <w:rFonts w:ascii="Arial" w:hAnsi="Arial" w:cs="Arial"/>
          <w:sz w:val="32"/>
          <w:szCs w:val="32"/>
        </w:rPr>
      </w:pPr>
      <w:r w:rsidRPr="009277F7">
        <w:rPr>
          <w:rFonts w:ascii="Arial" w:hAnsi="Arial" w:cs="Arial"/>
          <w:sz w:val="32"/>
          <w:szCs w:val="32"/>
        </w:rPr>
        <w:lastRenderedPageBreak/>
        <w:t xml:space="preserve">Conforme informa a consultoria Reply, empresa especializada em integração de sistemas e serviços digitais: </w:t>
      </w:r>
    </w:p>
    <w:p w14:paraId="7834E498" w14:textId="77777777" w:rsidR="003F6B0E" w:rsidRPr="009277F7" w:rsidRDefault="00592DC9" w:rsidP="00592DC9">
      <w:pPr>
        <w:ind w:left="2268"/>
        <w:jc w:val="both"/>
        <w:rPr>
          <w:rFonts w:ascii="Arial" w:hAnsi="Arial" w:cs="Arial"/>
          <w:sz w:val="32"/>
          <w:szCs w:val="32"/>
        </w:rPr>
      </w:pPr>
      <w:r w:rsidRPr="009277F7">
        <w:rPr>
          <w:rFonts w:ascii="Arial" w:hAnsi="Arial" w:cs="Arial"/>
          <w:i/>
          <w:sz w:val="32"/>
          <w:szCs w:val="32"/>
        </w:rPr>
        <w:t>Em última análise, o 5G move a construção de cidades inteligentes da teoria para a prática e abre caminho para o desenvolvimento e implementação de novas aplicações, que vão do monitoramento da qualidade do ar, uso de energia e padrões de tráfego à iluminação pública, estacionamentos inteligentes, gerenciamento de multidões e resposta de emergência. A cidade inteligente usa soluções digitais, tecnologia e dados para melhorar significativamente vários indicadores-chave de qualidade de vida. Isso se traduz em melhoria do tempo de trânsito e deslocamento, rápido tempo de resposta a emergências, custos de assistência médica reduzidos, menor consumo de água, redução do desperdício à partir da reciclagem, diminuição de emissões nocivas, além de um enorme potencial de economia.</w:t>
      </w:r>
    </w:p>
    <w:p w14:paraId="20328DF0" w14:textId="3E25827D" w:rsidR="00592DC9" w:rsidRPr="009277F7" w:rsidRDefault="00592DC9" w:rsidP="009277F7">
      <w:pPr>
        <w:ind w:firstLine="1134"/>
        <w:jc w:val="both"/>
        <w:rPr>
          <w:rFonts w:ascii="Arial" w:hAnsi="Arial" w:cs="Arial"/>
          <w:sz w:val="32"/>
          <w:szCs w:val="32"/>
        </w:rPr>
      </w:pPr>
      <w:r w:rsidRPr="009277F7">
        <w:rPr>
          <w:rFonts w:ascii="Arial" w:hAnsi="Arial" w:cs="Arial"/>
          <w:sz w:val="32"/>
          <w:szCs w:val="32"/>
        </w:rPr>
        <w:t>As cidades inteligentes usam a Internet das Coisas (IoT) para coletar dados em tempo real</w:t>
      </w:r>
      <w:r w:rsidR="001579D3">
        <w:rPr>
          <w:rFonts w:ascii="Arial" w:hAnsi="Arial" w:cs="Arial"/>
          <w:sz w:val="32"/>
          <w:szCs w:val="32"/>
        </w:rPr>
        <w:t>,</w:t>
      </w:r>
      <w:r w:rsidRPr="009277F7">
        <w:rPr>
          <w:rFonts w:ascii="Arial" w:hAnsi="Arial" w:cs="Arial"/>
          <w:sz w:val="32"/>
          <w:szCs w:val="32"/>
        </w:rPr>
        <w:t xml:space="preserve"> visando entender melhor como os padrões de demanda estão mudando e responder com soluções mais rápidas e de menor custo. Em termos gerais, os ecossistemas das cidades digitais são projetados </w:t>
      </w:r>
      <w:r w:rsidR="001579D3" w:rsidRPr="00215382">
        <w:rPr>
          <w:rFonts w:ascii="Arial" w:hAnsi="Arial" w:cs="Arial"/>
          <w:sz w:val="32"/>
          <w:szCs w:val="32"/>
        </w:rPr>
        <w:t>para</w:t>
      </w:r>
      <w:r w:rsidR="001579D3">
        <w:rPr>
          <w:rFonts w:ascii="Arial" w:hAnsi="Arial" w:cs="Arial"/>
          <w:sz w:val="32"/>
          <w:szCs w:val="32"/>
        </w:rPr>
        <w:t xml:space="preserve"> </w:t>
      </w:r>
      <w:r w:rsidRPr="009277F7">
        <w:rPr>
          <w:rFonts w:ascii="Arial" w:hAnsi="Arial" w:cs="Arial"/>
          <w:sz w:val="32"/>
          <w:szCs w:val="32"/>
        </w:rPr>
        <w:t xml:space="preserve">interconectar várias redes dedicadas de dispositivos móveis, sensores, carros conectados, eletrodomésticos, gateways de comunicação e data centers. </w:t>
      </w:r>
    </w:p>
    <w:p w14:paraId="4E7BE742" w14:textId="4E762142" w:rsidR="00592DC9" w:rsidRPr="009277F7" w:rsidRDefault="00592DC9" w:rsidP="009277F7">
      <w:pPr>
        <w:ind w:firstLine="1134"/>
        <w:jc w:val="both"/>
        <w:rPr>
          <w:rFonts w:ascii="Arial" w:hAnsi="Arial" w:cs="Arial"/>
          <w:sz w:val="32"/>
          <w:szCs w:val="32"/>
        </w:rPr>
      </w:pPr>
      <w:r w:rsidRPr="009277F7">
        <w:rPr>
          <w:rFonts w:ascii="Arial" w:hAnsi="Arial" w:cs="Arial"/>
          <w:sz w:val="32"/>
          <w:szCs w:val="32"/>
        </w:rPr>
        <w:t>A tecnologia 5G</w:t>
      </w:r>
      <w:r w:rsidR="00C7216B">
        <w:rPr>
          <w:rFonts w:ascii="Arial" w:hAnsi="Arial" w:cs="Arial"/>
          <w:sz w:val="32"/>
          <w:szCs w:val="32"/>
        </w:rPr>
        <w:t>,</w:t>
      </w:r>
      <w:r w:rsidRPr="009277F7">
        <w:rPr>
          <w:rFonts w:ascii="Arial" w:hAnsi="Arial" w:cs="Arial"/>
          <w:sz w:val="32"/>
          <w:szCs w:val="32"/>
        </w:rPr>
        <w:t xml:space="preserve"> além de oferecer uma maior velocidade para fazer o </w:t>
      </w:r>
      <w:r w:rsidRPr="00C7216B">
        <w:rPr>
          <w:rFonts w:ascii="Arial" w:hAnsi="Arial" w:cs="Arial"/>
          <w:i/>
          <w:iCs/>
          <w:sz w:val="32"/>
          <w:szCs w:val="32"/>
        </w:rPr>
        <w:t>upload</w:t>
      </w:r>
      <w:r w:rsidRPr="009277F7">
        <w:rPr>
          <w:rFonts w:ascii="Arial" w:hAnsi="Arial" w:cs="Arial"/>
          <w:sz w:val="32"/>
          <w:szCs w:val="32"/>
        </w:rPr>
        <w:t xml:space="preserve"> e o </w:t>
      </w:r>
      <w:r w:rsidRPr="00C7216B">
        <w:rPr>
          <w:rFonts w:ascii="Arial" w:hAnsi="Arial" w:cs="Arial"/>
          <w:i/>
          <w:iCs/>
          <w:sz w:val="32"/>
          <w:szCs w:val="32"/>
        </w:rPr>
        <w:t>download</w:t>
      </w:r>
      <w:r w:rsidRPr="009277F7">
        <w:rPr>
          <w:rFonts w:ascii="Arial" w:hAnsi="Arial" w:cs="Arial"/>
          <w:sz w:val="32"/>
          <w:szCs w:val="32"/>
        </w:rPr>
        <w:t xml:space="preserve"> de dados, garante tempos de latência muito curtos e a capacidade de </w:t>
      </w:r>
      <w:r w:rsidRPr="009277F7">
        <w:rPr>
          <w:rFonts w:ascii="Arial" w:hAnsi="Arial" w:cs="Arial"/>
          <w:sz w:val="32"/>
          <w:szCs w:val="32"/>
        </w:rPr>
        <w:lastRenderedPageBreak/>
        <w:t xml:space="preserve">conectar vários dispositivos simultaneamente. A combinação de alta densidade e baixa latência transformará profundamente as nossas cidades. </w:t>
      </w:r>
    </w:p>
    <w:p w14:paraId="0263BC3A" w14:textId="4509A48B" w:rsidR="00592DC9" w:rsidRPr="009277F7" w:rsidRDefault="00592DC9" w:rsidP="009277F7">
      <w:pPr>
        <w:ind w:firstLine="1134"/>
        <w:jc w:val="both"/>
        <w:rPr>
          <w:rFonts w:ascii="Arial" w:hAnsi="Arial" w:cs="Arial"/>
          <w:sz w:val="32"/>
          <w:szCs w:val="32"/>
        </w:rPr>
      </w:pPr>
      <w:r w:rsidRPr="009277F7">
        <w:rPr>
          <w:rFonts w:ascii="Arial" w:hAnsi="Arial" w:cs="Arial"/>
          <w:sz w:val="32"/>
          <w:szCs w:val="32"/>
        </w:rPr>
        <w:t xml:space="preserve">Segundo informações da citada consultoria, será possível ter um grande número (até um milhão) de conexões simultaneamente para cada quilômetro quadrado. Isso significa que, além de dispositivos pessoais, como smartphones, tablets etc, muitos outros dispositivos, objetos e sensores serão capazes de capturar informações e dialogar entre si. </w:t>
      </w:r>
      <w:r w:rsidR="00F01270" w:rsidRPr="009277F7">
        <w:rPr>
          <w:rFonts w:ascii="Arial" w:hAnsi="Arial" w:cs="Arial"/>
          <w:sz w:val="32"/>
          <w:szCs w:val="32"/>
        </w:rPr>
        <w:t>O</w:t>
      </w:r>
      <w:r w:rsidRPr="009277F7">
        <w:rPr>
          <w:rFonts w:ascii="Arial" w:hAnsi="Arial" w:cs="Arial"/>
          <w:sz w:val="32"/>
          <w:szCs w:val="32"/>
        </w:rPr>
        <w:t xml:space="preserve"> 5G elimina essencialmente uma das barreiras para o desenvolvimento da Internet das Coisas que, portanto, será capaz de demonstrar seu pleno potencial não apenas no ambiente residencial, mas também nas fábricas, nos edifícios públicos ou nas ruas.</w:t>
      </w:r>
    </w:p>
    <w:p w14:paraId="4738AA1A" w14:textId="5846F0D6" w:rsidR="00F1028A" w:rsidRPr="009277F7" w:rsidRDefault="00592DC9" w:rsidP="009277F7">
      <w:pPr>
        <w:ind w:firstLine="1134"/>
        <w:jc w:val="both"/>
        <w:rPr>
          <w:rFonts w:ascii="Arial" w:hAnsi="Arial" w:cs="Arial"/>
          <w:sz w:val="32"/>
          <w:szCs w:val="32"/>
        </w:rPr>
      </w:pPr>
      <w:r w:rsidRPr="009277F7">
        <w:rPr>
          <w:rFonts w:ascii="Arial" w:hAnsi="Arial" w:cs="Arial"/>
          <w:sz w:val="32"/>
          <w:szCs w:val="32"/>
        </w:rPr>
        <w:t>Assim, a implantação da tecnologia 5G em larga escala fornecerá a melhoria de desempenho necessária para integrar um grande número de dispositivos de maneira econômica, o que tem reflexo</w:t>
      </w:r>
      <w:r w:rsidR="003A543F">
        <w:rPr>
          <w:rFonts w:ascii="Arial" w:hAnsi="Arial" w:cs="Arial"/>
          <w:sz w:val="32"/>
          <w:szCs w:val="32"/>
        </w:rPr>
        <w:t>s</w:t>
      </w:r>
      <w:r w:rsidRPr="009277F7">
        <w:rPr>
          <w:rFonts w:ascii="Arial" w:hAnsi="Arial" w:cs="Arial"/>
          <w:sz w:val="32"/>
          <w:szCs w:val="32"/>
        </w:rPr>
        <w:t xml:space="preserve"> importante</w:t>
      </w:r>
      <w:r w:rsidR="003A543F">
        <w:rPr>
          <w:rFonts w:ascii="Arial" w:hAnsi="Arial" w:cs="Arial"/>
          <w:sz w:val="32"/>
          <w:szCs w:val="32"/>
        </w:rPr>
        <w:t>s</w:t>
      </w:r>
      <w:r w:rsidRPr="009277F7">
        <w:rPr>
          <w:rFonts w:ascii="Arial" w:hAnsi="Arial" w:cs="Arial"/>
          <w:sz w:val="32"/>
          <w:szCs w:val="32"/>
        </w:rPr>
        <w:t xml:space="preserve"> na modernização do parque semafórico da cidade e </w:t>
      </w:r>
      <w:r w:rsidR="00F01270" w:rsidRPr="009277F7">
        <w:rPr>
          <w:rFonts w:ascii="Arial" w:hAnsi="Arial" w:cs="Arial"/>
          <w:sz w:val="32"/>
          <w:szCs w:val="32"/>
        </w:rPr>
        <w:t>deve</w:t>
      </w:r>
      <w:r w:rsidRPr="009277F7">
        <w:rPr>
          <w:rFonts w:ascii="Arial" w:hAnsi="Arial" w:cs="Arial"/>
          <w:sz w:val="32"/>
          <w:szCs w:val="32"/>
        </w:rPr>
        <w:t xml:space="preserve"> ser considerado pela contratação pretendida pela Administração.</w:t>
      </w:r>
    </w:p>
    <w:p w14:paraId="63E287A7" w14:textId="77777777" w:rsidR="00592DC9" w:rsidRPr="009277F7" w:rsidRDefault="00592DC9" w:rsidP="00D85034">
      <w:pPr>
        <w:jc w:val="both"/>
        <w:rPr>
          <w:rFonts w:ascii="Arial" w:hAnsi="Arial" w:cs="Arial"/>
          <w:sz w:val="32"/>
          <w:szCs w:val="32"/>
        </w:rPr>
      </w:pPr>
    </w:p>
    <w:p w14:paraId="047B0B35" w14:textId="60A101C2" w:rsidR="00AA2F05" w:rsidRPr="009277F7" w:rsidRDefault="00AA2F05" w:rsidP="00D85034">
      <w:pPr>
        <w:jc w:val="both"/>
        <w:rPr>
          <w:rFonts w:ascii="Arial" w:hAnsi="Arial" w:cs="Arial"/>
          <w:b/>
          <w:sz w:val="32"/>
          <w:szCs w:val="32"/>
        </w:rPr>
      </w:pPr>
      <w:r w:rsidRPr="009277F7">
        <w:rPr>
          <w:rFonts w:ascii="Arial" w:hAnsi="Arial" w:cs="Arial"/>
          <w:b/>
          <w:sz w:val="32"/>
          <w:szCs w:val="32"/>
        </w:rPr>
        <w:t>2 – An</w:t>
      </w:r>
      <w:r w:rsidR="007530E0">
        <w:rPr>
          <w:rFonts w:ascii="Arial" w:hAnsi="Arial" w:cs="Arial"/>
          <w:b/>
          <w:sz w:val="32"/>
          <w:szCs w:val="32"/>
        </w:rPr>
        <w:t>á</w:t>
      </w:r>
      <w:r w:rsidRPr="009277F7">
        <w:rPr>
          <w:rFonts w:ascii="Arial" w:hAnsi="Arial" w:cs="Arial"/>
          <w:b/>
          <w:sz w:val="32"/>
          <w:szCs w:val="32"/>
        </w:rPr>
        <w:t xml:space="preserve">lise de mérito dos questionamentos formulados </w:t>
      </w:r>
      <w:r w:rsidR="004F42DA">
        <w:rPr>
          <w:rFonts w:ascii="Arial" w:hAnsi="Arial" w:cs="Arial"/>
          <w:b/>
          <w:sz w:val="32"/>
          <w:szCs w:val="32"/>
        </w:rPr>
        <w:t>à</w:t>
      </w:r>
      <w:r w:rsidRPr="009277F7">
        <w:rPr>
          <w:rFonts w:ascii="Arial" w:hAnsi="Arial" w:cs="Arial"/>
          <w:b/>
          <w:sz w:val="32"/>
          <w:szCs w:val="32"/>
        </w:rPr>
        <w:t xml:space="preserve"> Administra</w:t>
      </w:r>
      <w:r w:rsidR="004F42DA">
        <w:rPr>
          <w:rFonts w:ascii="Arial" w:hAnsi="Arial" w:cs="Arial"/>
          <w:b/>
          <w:sz w:val="32"/>
          <w:szCs w:val="32"/>
        </w:rPr>
        <w:t>ção</w:t>
      </w:r>
    </w:p>
    <w:p w14:paraId="7F699531" w14:textId="77777777" w:rsidR="00096E29" w:rsidRPr="009277F7" w:rsidRDefault="00E16459" w:rsidP="004F42DA">
      <w:pPr>
        <w:jc w:val="both"/>
        <w:rPr>
          <w:rFonts w:ascii="Arial" w:hAnsi="Arial" w:cs="Arial"/>
          <w:b/>
          <w:sz w:val="32"/>
          <w:szCs w:val="32"/>
        </w:rPr>
      </w:pPr>
      <w:bookmarkStart w:id="1" w:name="_Hlk109894434"/>
      <w:r w:rsidRPr="009277F7">
        <w:rPr>
          <w:rFonts w:ascii="Arial" w:hAnsi="Arial" w:cs="Arial"/>
          <w:b/>
          <w:sz w:val="32"/>
          <w:szCs w:val="32"/>
        </w:rPr>
        <w:t>2.</w:t>
      </w:r>
      <w:r w:rsidR="00096E29" w:rsidRPr="009277F7">
        <w:rPr>
          <w:rFonts w:ascii="Arial" w:hAnsi="Arial" w:cs="Arial"/>
          <w:b/>
          <w:sz w:val="32"/>
          <w:szCs w:val="32"/>
        </w:rPr>
        <w:t>1. Justificativa jurídica quanto à legalidade da opção escolhida pela Administração em relação à possibilidade de inclusão dos serviços semafóricos na PPP (Contrato n.º 3/SMSO/2018).</w:t>
      </w:r>
    </w:p>
    <w:bookmarkEnd w:id="1"/>
    <w:p w14:paraId="108D67B3" w14:textId="1F63FA6A" w:rsidR="00C364CB" w:rsidRPr="009277F7" w:rsidRDefault="00096E29" w:rsidP="009277F7">
      <w:pPr>
        <w:ind w:firstLine="1134"/>
        <w:jc w:val="both"/>
        <w:rPr>
          <w:rFonts w:ascii="Arial" w:hAnsi="Arial" w:cs="Arial"/>
          <w:sz w:val="32"/>
          <w:szCs w:val="32"/>
        </w:rPr>
      </w:pPr>
      <w:r w:rsidRPr="009277F7">
        <w:rPr>
          <w:rFonts w:ascii="Arial" w:hAnsi="Arial" w:cs="Arial"/>
          <w:sz w:val="32"/>
          <w:szCs w:val="32"/>
        </w:rPr>
        <w:t xml:space="preserve">A Origem </w:t>
      </w:r>
      <w:r w:rsidR="005E47C1">
        <w:rPr>
          <w:rFonts w:ascii="Arial" w:hAnsi="Arial" w:cs="Arial"/>
          <w:sz w:val="32"/>
          <w:szCs w:val="32"/>
        </w:rPr>
        <w:t>apresentou</w:t>
      </w:r>
      <w:r w:rsidR="00BC2EDB">
        <w:rPr>
          <w:rFonts w:ascii="Arial" w:hAnsi="Arial" w:cs="Arial"/>
          <w:sz w:val="32"/>
          <w:szCs w:val="32"/>
        </w:rPr>
        <w:t>,</w:t>
      </w:r>
      <w:r w:rsidR="005E47C1">
        <w:rPr>
          <w:rFonts w:ascii="Arial" w:hAnsi="Arial" w:cs="Arial"/>
          <w:sz w:val="32"/>
          <w:szCs w:val="32"/>
        </w:rPr>
        <w:t xml:space="preserve"> inicialmente</w:t>
      </w:r>
      <w:r w:rsidR="00BC2EDB">
        <w:rPr>
          <w:rFonts w:ascii="Arial" w:hAnsi="Arial" w:cs="Arial"/>
          <w:sz w:val="32"/>
          <w:szCs w:val="32"/>
        </w:rPr>
        <w:t>,</w:t>
      </w:r>
      <w:r w:rsidR="005E47C1">
        <w:rPr>
          <w:rFonts w:ascii="Arial" w:hAnsi="Arial" w:cs="Arial"/>
          <w:sz w:val="32"/>
          <w:szCs w:val="32"/>
        </w:rPr>
        <w:t xml:space="preserve"> dois</w:t>
      </w:r>
      <w:r w:rsidRPr="009277F7">
        <w:rPr>
          <w:rFonts w:ascii="Arial" w:hAnsi="Arial" w:cs="Arial"/>
          <w:sz w:val="32"/>
          <w:szCs w:val="32"/>
        </w:rPr>
        <w:t xml:space="preserve"> pareceres jurídicos, um de lavra da </w:t>
      </w:r>
      <w:r w:rsidRPr="00807DF8">
        <w:rPr>
          <w:rFonts w:ascii="Arial" w:hAnsi="Arial" w:cs="Arial"/>
          <w:sz w:val="32"/>
          <w:szCs w:val="32"/>
        </w:rPr>
        <w:t>Procuradoria do Município de São Paulo</w:t>
      </w:r>
      <w:r w:rsidRPr="009277F7">
        <w:rPr>
          <w:rFonts w:ascii="Arial" w:hAnsi="Arial" w:cs="Arial"/>
          <w:sz w:val="32"/>
          <w:szCs w:val="32"/>
        </w:rPr>
        <w:t xml:space="preserve"> e outro apresentado pela concessionária </w:t>
      </w:r>
      <w:r w:rsidR="00BC2EDB">
        <w:rPr>
          <w:rFonts w:ascii="Arial" w:hAnsi="Arial" w:cs="Arial"/>
          <w:sz w:val="32"/>
          <w:szCs w:val="32"/>
        </w:rPr>
        <w:t xml:space="preserve">- </w:t>
      </w:r>
      <w:r w:rsidRPr="009277F7">
        <w:rPr>
          <w:rFonts w:ascii="Arial" w:hAnsi="Arial" w:cs="Arial"/>
          <w:sz w:val="32"/>
          <w:szCs w:val="32"/>
        </w:rPr>
        <w:t>elaborad</w:t>
      </w:r>
      <w:r w:rsidR="00BC2EDB">
        <w:rPr>
          <w:rFonts w:ascii="Arial" w:hAnsi="Arial" w:cs="Arial"/>
          <w:sz w:val="32"/>
          <w:szCs w:val="32"/>
        </w:rPr>
        <w:t>o</w:t>
      </w:r>
      <w:r w:rsidRPr="009277F7">
        <w:rPr>
          <w:rFonts w:ascii="Arial" w:hAnsi="Arial" w:cs="Arial"/>
          <w:sz w:val="32"/>
          <w:szCs w:val="32"/>
        </w:rPr>
        <w:t xml:space="preserve"> por Georges Abboud. Em ambos os pareceres </w:t>
      </w:r>
      <w:r w:rsidR="005E47C1">
        <w:rPr>
          <w:rFonts w:ascii="Arial" w:hAnsi="Arial" w:cs="Arial"/>
          <w:sz w:val="32"/>
          <w:szCs w:val="32"/>
        </w:rPr>
        <w:t>houve</w:t>
      </w:r>
      <w:r w:rsidRPr="009277F7">
        <w:rPr>
          <w:rFonts w:ascii="Arial" w:hAnsi="Arial" w:cs="Arial"/>
          <w:sz w:val="32"/>
          <w:szCs w:val="32"/>
        </w:rPr>
        <w:t xml:space="preserve"> a </w:t>
      </w:r>
      <w:r w:rsidR="005E47C1">
        <w:rPr>
          <w:rFonts w:ascii="Arial" w:hAnsi="Arial" w:cs="Arial"/>
          <w:sz w:val="32"/>
          <w:szCs w:val="32"/>
        </w:rPr>
        <w:lastRenderedPageBreak/>
        <w:t xml:space="preserve">indicação da </w:t>
      </w:r>
      <w:r w:rsidRPr="009277F7">
        <w:rPr>
          <w:rFonts w:ascii="Arial" w:hAnsi="Arial" w:cs="Arial"/>
          <w:sz w:val="32"/>
          <w:szCs w:val="32"/>
        </w:rPr>
        <w:t>possibilidade jurídica de inc</w:t>
      </w:r>
      <w:r w:rsidR="005E47C1">
        <w:rPr>
          <w:rFonts w:ascii="Arial" w:hAnsi="Arial" w:cs="Arial"/>
          <w:sz w:val="32"/>
          <w:szCs w:val="32"/>
        </w:rPr>
        <w:t>lu</w:t>
      </w:r>
      <w:r w:rsidRPr="009277F7">
        <w:rPr>
          <w:rFonts w:ascii="Arial" w:hAnsi="Arial" w:cs="Arial"/>
          <w:sz w:val="32"/>
          <w:szCs w:val="32"/>
        </w:rPr>
        <w:t>são do objeto no contrato de concessão n.º 03/SMSO/2018</w:t>
      </w:r>
      <w:r w:rsidR="005E47C1">
        <w:rPr>
          <w:rFonts w:ascii="Arial" w:hAnsi="Arial" w:cs="Arial"/>
          <w:sz w:val="32"/>
          <w:szCs w:val="32"/>
        </w:rPr>
        <w:t>, com fundamento em suas cláusulas contratuais</w:t>
      </w:r>
      <w:r w:rsidRPr="009277F7">
        <w:rPr>
          <w:rFonts w:ascii="Arial" w:hAnsi="Arial" w:cs="Arial"/>
          <w:sz w:val="32"/>
          <w:szCs w:val="32"/>
        </w:rPr>
        <w:t>.</w:t>
      </w:r>
    </w:p>
    <w:p w14:paraId="1BCFEAE9" w14:textId="77777777" w:rsidR="00EA19DC" w:rsidRPr="009277F7" w:rsidRDefault="005E47C1" w:rsidP="009277F7">
      <w:pPr>
        <w:ind w:firstLine="1134"/>
        <w:jc w:val="both"/>
        <w:rPr>
          <w:rFonts w:ascii="Arial" w:hAnsi="Arial" w:cs="Arial"/>
          <w:sz w:val="32"/>
          <w:szCs w:val="32"/>
        </w:rPr>
      </w:pPr>
      <w:r>
        <w:rPr>
          <w:rFonts w:ascii="Arial" w:hAnsi="Arial" w:cs="Arial"/>
          <w:sz w:val="32"/>
          <w:szCs w:val="32"/>
        </w:rPr>
        <w:t>Houve também a apresentação de parecer da</w:t>
      </w:r>
      <w:r w:rsidR="00EA19DC" w:rsidRPr="009277F7">
        <w:rPr>
          <w:rFonts w:ascii="Arial" w:hAnsi="Arial" w:cs="Arial"/>
          <w:sz w:val="32"/>
          <w:szCs w:val="32"/>
        </w:rPr>
        <w:t xml:space="preserve"> Coordenadoria Geral do Consultivo da Procuradoria-Geral do Município, conforme ressaltou a Origem em sua resposta, </w:t>
      </w:r>
      <w:r>
        <w:rPr>
          <w:rFonts w:ascii="Arial" w:hAnsi="Arial" w:cs="Arial"/>
          <w:sz w:val="32"/>
          <w:szCs w:val="32"/>
        </w:rPr>
        <w:t xml:space="preserve">que </w:t>
      </w:r>
      <w:r w:rsidR="00EA19DC" w:rsidRPr="009277F7">
        <w:rPr>
          <w:rFonts w:ascii="Arial" w:hAnsi="Arial" w:cs="Arial"/>
          <w:sz w:val="32"/>
          <w:szCs w:val="32"/>
        </w:rPr>
        <w:t xml:space="preserve">opinou favoravelmente quanto </w:t>
      </w:r>
      <w:r w:rsidR="004F42DA">
        <w:rPr>
          <w:rFonts w:ascii="Arial" w:hAnsi="Arial" w:cs="Arial"/>
          <w:sz w:val="32"/>
          <w:szCs w:val="32"/>
        </w:rPr>
        <w:t xml:space="preserve">ao aditamento </w:t>
      </w:r>
      <w:r w:rsidR="00EA19DC" w:rsidRPr="009277F7">
        <w:rPr>
          <w:rFonts w:ascii="Arial" w:hAnsi="Arial" w:cs="Arial"/>
          <w:sz w:val="32"/>
          <w:szCs w:val="32"/>
        </w:rPr>
        <w:t>contratual</w:t>
      </w:r>
      <w:r w:rsidR="004F42DA">
        <w:rPr>
          <w:rFonts w:ascii="Arial" w:hAnsi="Arial" w:cs="Arial"/>
          <w:sz w:val="32"/>
          <w:szCs w:val="32"/>
        </w:rPr>
        <w:t xml:space="preserve"> da PPP para inclusão dos serviços semafóricos</w:t>
      </w:r>
      <w:r w:rsidR="00EA19DC" w:rsidRPr="009277F7">
        <w:rPr>
          <w:rFonts w:ascii="Arial" w:hAnsi="Arial" w:cs="Arial"/>
          <w:sz w:val="32"/>
          <w:szCs w:val="32"/>
        </w:rPr>
        <w:t xml:space="preserve"> com fundamento no artigo 19 da Lei Municipal n.º 17.731/2022, nos seguintes termos por ela realçados:</w:t>
      </w:r>
    </w:p>
    <w:p w14:paraId="1273BEEB" w14:textId="77777777" w:rsidR="00EA19DC" w:rsidRPr="009277F7" w:rsidRDefault="00EA19DC" w:rsidP="00D85034">
      <w:pPr>
        <w:jc w:val="both"/>
        <w:rPr>
          <w:rFonts w:ascii="Arial" w:hAnsi="Arial" w:cs="Arial"/>
          <w:sz w:val="32"/>
          <w:szCs w:val="32"/>
        </w:rPr>
      </w:pPr>
    </w:p>
    <w:p w14:paraId="7D7001C7" w14:textId="77777777" w:rsidR="00EA19DC" w:rsidRPr="009277F7" w:rsidRDefault="00EA19DC" w:rsidP="009664AD">
      <w:pPr>
        <w:ind w:left="1134"/>
        <w:jc w:val="both"/>
        <w:rPr>
          <w:rFonts w:ascii="Arial" w:hAnsi="Arial" w:cs="Arial"/>
          <w:i/>
          <w:sz w:val="32"/>
          <w:szCs w:val="32"/>
        </w:rPr>
      </w:pPr>
      <w:r w:rsidRPr="009277F7">
        <w:rPr>
          <w:rFonts w:ascii="Arial" w:hAnsi="Arial" w:cs="Arial"/>
          <w:i/>
          <w:sz w:val="32"/>
          <w:szCs w:val="32"/>
        </w:rPr>
        <w:t>A exposição e as análises precedentes servem de premissa e de subsídio para a conclusão que se segue.</w:t>
      </w:r>
    </w:p>
    <w:p w14:paraId="4D012947" w14:textId="77777777" w:rsidR="00EA19DC" w:rsidRPr="009277F7" w:rsidRDefault="00EA19DC" w:rsidP="009664AD">
      <w:pPr>
        <w:ind w:left="1134"/>
        <w:jc w:val="both"/>
        <w:rPr>
          <w:rFonts w:ascii="Arial" w:hAnsi="Arial" w:cs="Arial"/>
          <w:i/>
          <w:sz w:val="32"/>
          <w:szCs w:val="32"/>
        </w:rPr>
      </w:pPr>
      <w:r w:rsidRPr="009277F7">
        <w:rPr>
          <w:rFonts w:ascii="Arial" w:hAnsi="Arial" w:cs="Arial"/>
          <w:i/>
          <w:sz w:val="32"/>
          <w:szCs w:val="32"/>
        </w:rPr>
        <w:t>De fato, a conjugação do art. 19, “caput” e parágrafo único, com os arts. 5º a</w:t>
      </w:r>
      <w:r w:rsidR="004F42DA">
        <w:rPr>
          <w:rFonts w:ascii="Arial" w:hAnsi="Arial" w:cs="Arial"/>
          <w:i/>
          <w:sz w:val="32"/>
          <w:szCs w:val="32"/>
        </w:rPr>
        <w:t xml:space="preserve"> </w:t>
      </w:r>
      <w:r w:rsidRPr="009277F7">
        <w:rPr>
          <w:rFonts w:ascii="Arial" w:hAnsi="Arial" w:cs="Arial"/>
          <w:i/>
          <w:sz w:val="32"/>
          <w:szCs w:val="32"/>
        </w:rPr>
        <w:t>7º, todos da Lei municipal 17.731/2022, permite extrair a possibilidade, em tese, da incorporação do serviço de modernização e manutenção do parque semafórico no bojo do Contrato 003/SMSO/2018. Saliente-se que não haverá modificação do objeto do contrato de concessão, e sim a incorporação de serviço associado, ex vi dos arts. 5º e 19 da mesma lei local.</w:t>
      </w:r>
    </w:p>
    <w:p w14:paraId="4099578B" w14:textId="77777777" w:rsidR="00EA19DC" w:rsidRPr="009277F7" w:rsidRDefault="00EA19DC" w:rsidP="009664AD">
      <w:pPr>
        <w:ind w:left="1134"/>
        <w:jc w:val="both"/>
        <w:rPr>
          <w:rFonts w:ascii="Arial" w:hAnsi="Arial" w:cs="Arial"/>
          <w:i/>
          <w:sz w:val="32"/>
          <w:szCs w:val="32"/>
        </w:rPr>
      </w:pPr>
      <w:r w:rsidRPr="009277F7">
        <w:rPr>
          <w:rFonts w:ascii="Arial" w:hAnsi="Arial" w:cs="Arial"/>
          <w:i/>
          <w:sz w:val="32"/>
          <w:szCs w:val="32"/>
        </w:rPr>
        <w:t>A propósito, no que tange ao objeto do contrato - em relação ao qual vige a diretriz da inalterabilidade -, não se pode deixar de vislumbrar que o vocábulo "objeto" não detém significação unívoca e objetiva. Incabível delimitar uma regra de alcance geral, que abarque todos os casos. É a análise do caso concreto, aliada ao próprio regime j</w:t>
      </w:r>
      <w:r w:rsidR="004F42DA">
        <w:rPr>
          <w:rFonts w:ascii="Arial" w:hAnsi="Arial" w:cs="Arial"/>
          <w:i/>
          <w:sz w:val="32"/>
          <w:szCs w:val="32"/>
        </w:rPr>
        <w:t>urídico subjacente, que permiti</w:t>
      </w:r>
      <w:r w:rsidRPr="009277F7">
        <w:rPr>
          <w:rFonts w:ascii="Arial" w:hAnsi="Arial" w:cs="Arial"/>
          <w:i/>
          <w:sz w:val="32"/>
          <w:szCs w:val="32"/>
        </w:rPr>
        <w:t xml:space="preserve">rá extrair o alcance de tal limite. Assim, no caso ora analisado, a previsão expressa, em lei municipal, da possibilidade de </w:t>
      </w:r>
      <w:r w:rsidRPr="009277F7">
        <w:rPr>
          <w:rFonts w:ascii="Arial" w:hAnsi="Arial" w:cs="Arial"/>
          <w:i/>
          <w:sz w:val="32"/>
          <w:szCs w:val="32"/>
        </w:rPr>
        <w:lastRenderedPageBreak/>
        <w:t xml:space="preserve">incorporação de "serviço associado", pari passu à intenção concreta </w:t>
      </w:r>
      <w:r w:rsidRPr="00287725">
        <w:rPr>
          <w:rFonts w:ascii="Arial" w:hAnsi="Arial" w:cs="Arial"/>
          <w:i/>
          <w:sz w:val="32"/>
          <w:szCs w:val="32"/>
        </w:rPr>
        <w:t>de</w:t>
      </w:r>
      <w:r w:rsidR="00287725" w:rsidRPr="00287725">
        <w:rPr>
          <w:rFonts w:ascii="Arial" w:hAnsi="Arial" w:cs="Arial"/>
          <w:i/>
          <w:sz w:val="32"/>
          <w:szCs w:val="32"/>
        </w:rPr>
        <w:t xml:space="preserve"> </w:t>
      </w:r>
      <w:r w:rsidRPr="00287725">
        <w:rPr>
          <w:rFonts w:ascii="Arial" w:hAnsi="Arial" w:cs="Arial"/>
          <w:i/>
          <w:sz w:val="32"/>
          <w:szCs w:val="32"/>
        </w:rPr>
        <w:t>agregar</w:t>
      </w:r>
      <w:r w:rsidRPr="009277F7">
        <w:rPr>
          <w:rFonts w:ascii="Arial" w:hAnsi="Arial" w:cs="Arial"/>
          <w:i/>
          <w:sz w:val="32"/>
          <w:szCs w:val="32"/>
        </w:rPr>
        <w:t xml:space="preserve"> o serviço de iluminação pública e de operação do parque semafórico, parece adequar-se a indigitado postulado.</w:t>
      </w:r>
    </w:p>
    <w:p w14:paraId="55C045AA" w14:textId="77777777" w:rsidR="00EA19DC" w:rsidRPr="009277F7" w:rsidRDefault="00EA19DC" w:rsidP="009664AD">
      <w:pPr>
        <w:ind w:left="1134"/>
        <w:jc w:val="both"/>
        <w:rPr>
          <w:rFonts w:ascii="Arial" w:hAnsi="Arial" w:cs="Arial"/>
          <w:i/>
          <w:sz w:val="32"/>
          <w:szCs w:val="32"/>
        </w:rPr>
      </w:pPr>
      <w:r w:rsidRPr="009277F7">
        <w:rPr>
          <w:rFonts w:ascii="Arial" w:hAnsi="Arial" w:cs="Arial"/>
          <w:i/>
          <w:sz w:val="32"/>
          <w:szCs w:val="32"/>
        </w:rPr>
        <w:t>[...]</w:t>
      </w:r>
    </w:p>
    <w:p w14:paraId="4C3D6040" w14:textId="77777777" w:rsidR="00EA19DC" w:rsidRPr="009277F7" w:rsidRDefault="00EA19DC" w:rsidP="009664AD">
      <w:pPr>
        <w:ind w:left="1134"/>
        <w:jc w:val="both"/>
        <w:rPr>
          <w:rFonts w:ascii="Arial" w:hAnsi="Arial" w:cs="Arial"/>
          <w:i/>
          <w:sz w:val="32"/>
          <w:szCs w:val="32"/>
        </w:rPr>
      </w:pPr>
      <w:r w:rsidRPr="009277F7">
        <w:rPr>
          <w:rFonts w:ascii="Arial" w:hAnsi="Arial" w:cs="Arial"/>
          <w:i/>
          <w:sz w:val="32"/>
          <w:szCs w:val="32"/>
        </w:rPr>
        <w:t>À luz de todo o exposto, conclui-se no sentido da possibilidade, em tese, da incorporação do serviço de modernização e manutenção do parque semafórico no bojo do Contrato 003/SMSP/2018.</w:t>
      </w:r>
    </w:p>
    <w:p w14:paraId="69A25AC1" w14:textId="77777777" w:rsidR="00EA19DC" w:rsidRPr="009277F7" w:rsidRDefault="00EA19DC" w:rsidP="009664AD">
      <w:pPr>
        <w:ind w:left="1134"/>
        <w:jc w:val="both"/>
        <w:rPr>
          <w:rFonts w:ascii="Arial" w:hAnsi="Arial" w:cs="Arial"/>
          <w:sz w:val="32"/>
          <w:szCs w:val="32"/>
        </w:rPr>
      </w:pPr>
      <w:r w:rsidRPr="009277F7">
        <w:rPr>
          <w:rFonts w:ascii="Arial" w:hAnsi="Arial" w:cs="Arial"/>
          <w:i/>
          <w:sz w:val="32"/>
          <w:szCs w:val="32"/>
        </w:rPr>
        <w:t>Para tanto, para além das condições e requisitos apontados pela SMT/AJ, entende-se necessária que a Administração municipal avalie: (a) a sinergia técnica entre os modais da iluminação pública e da rede semafórica; (b) a vantajosidade econômica da adoção desse modelo contratual; (c) as condições pessoais do concessionário de iluminação pública, notadamente do que se refere a sua qualificação técnica para assumir a atividade prestacional de manutenção e modernização do parque semafórico.</w:t>
      </w:r>
    </w:p>
    <w:p w14:paraId="14808059" w14:textId="77777777" w:rsidR="00961899" w:rsidRPr="009277F7" w:rsidRDefault="00961899" w:rsidP="009664AD">
      <w:pPr>
        <w:ind w:left="1134"/>
        <w:jc w:val="both"/>
        <w:rPr>
          <w:rFonts w:ascii="Arial" w:hAnsi="Arial" w:cs="Arial"/>
          <w:sz w:val="32"/>
          <w:szCs w:val="32"/>
        </w:rPr>
      </w:pPr>
    </w:p>
    <w:p w14:paraId="20C88ED5" w14:textId="59B81340" w:rsidR="00961899" w:rsidRPr="0026583D" w:rsidRDefault="00961899" w:rsidP="0026583D">
      <w:pPr>
        <w:ind w:firstLine="1134"/>
        <w:jc w:val="both"/>
        <w:rPr>
          <w:rFonts w:ascii="Arial" w:hAnsi="Arial" w:cs="Arial"/>
          <w:sz w:val="32"/>
          <w:szCs w:val="32"/>
        </w:rPr>
      </w:pPr>
      <w:r w:rsidRPr="009277F7">
        <w:rPr>
          <w:rFonts w:ascii="Arial" w:hAnsi="Arial" w:cs="Arial"/>
          <w:sz w:val="32"/>
          <w:szCs w:val="32"/>
        </w:rPr>
        <w:t>O feito</w:t>
      </w:r>
      <w:r w:rsidR="002859CB">
        <w:rPr>
          <w:rFonts w:ascii="Arial" w:hAnsi="Arial" w:cs="Arial"/>
          <w:sz w:val="32"/>
          <w:szCs w:val="32"/>
        </w:rPr>
        <w:t xml:space="preserve"> foi</w:t>
      </w:r>
      <w:r w:rsidRPr="009277F7">
        <w:rPr>
          <w:rFonts w:ascii="Arial" w:hAnsi="Arial" w:cs="Arial"/>
          <w:sz w:val="32"/>
          <w:szCs w:val="32"/>
        </w:rPr>
        <w:t xml:space="preserve"> encaminha</w:t>
      </w:r>
      <w:r w:rsidR="002859CB">
        <w:rPr>
          <w:rFonts w:ascii="Arial" w:hAnsi="Arial" w:cs="Arial"/>
          <w:sz w:val="32"/>
          <w:szCs w:val="32"/>
        </w:rPr>
        <w:t>do à</w:t>
      </w:r>
      <w:r w:rsidRPr="009277F7">
        <w:rPr>
          <w:rFonts w:ascii="Arial" w:hAnsi="Arial" w:cs="Arial"/>
          <w:sz w:val="32"/>
          <w:szCs w:val="32"/>
        </w:rPr>
        <w:t xml:space="preserve"> Assessoria Jurídica de Controle </w:t>
      </w:r>
      <w:r w:rsidR="002859CB">
        <w:rPr>
          <w:rFonts w:ascii="Arial" w:hAnsi="Arial" w:cs="Arial"/>
          <w:sz w:val="32"/>
          <w:szCs w:val="32"/>
        </w:rPr>
        <w:t>E</w:t>
      </w:r>
      <w:r w:rsidRPr="009277F7">
        <w:rPr>
          <w:rFonts w:ascii="Arial" w:hAnsi="Arial" w:cs="Arial"/>
          <w:sz w:val="32"/>
          <w:szCs w:val="32"/>
        </w:rPr>
        <w:t>xterno</w:t>
      </w:r>
      <w:r w:rsidR="007B444F">
        <w:rPr>
          <w:rFonts w:ascii="Arial" w:hAnsi="Arial" w:cs="Arial"/>
          <w:sz w:val="32"/>
          <w:szCs w:val="32"/>
        </w:rPr>
        <w:t xml:space="preserve"> </w:t>
      </w:r>
      <w:r w:rsidR="007B444F" w:rsidRPr="00B35EB1">
        <w:rPr>
          <w:rFonts w:ascii="Arial" w:hAnsi="Arial" w:cs="Arial"/>
          <w:sz w:val="32"/>
          <w:szCs w:val="32"/>
        </w:rPr>
        <w:t>deste Tribunal</w:t>
      </w:r>
      <w:r w:rsidRPr="00B35EB1">
        <w:rPr>
          <w:rFonts w:ascii="Arial" w:hAnsi="Arial" w:cs="Arial"/>
          <w:sz w:val="32"/>
          <w:szCs w:val="32"/>
        </w:rPr>
        <w:t xml:space="preserve">, </w:t>
      </w:r>
      <w:r w:rsidRPr="009277F7">
        <w:rPr>
          <w:rFonts w:ascii="Arial" w:hAnsi="Arial" w:cs="Arial"/>
          <w:sz w:val="32"/>
          <w:szCs w:val="32"/>
        </w:rPr>
        <w:t xml:space="preserve">com o fito de ponderar sobre a possibilidade jurídica do </w:t>
      </w:r>
      <w:r w:rsidR="00E62B2D" w:rsidRPr="009277F7">
        <w:rPr>
          <w:rFonts w:ascii="Arial" w:hAnsi="Arial" w:cs="Arial"/>
          <w:sz w:val="32"/>
          <w:szCs w:val="32"/>
        </w:rPr>
        <w:t>pedido, retorn</w:t>
      </w:r>
      <w:r w:rsidR="002859CB">
        <w:rPr>
          <w:rFonts w:ascii="Arial" w:hAnsi="Arial" w:cs="Arial"/>
          <w:sz w:val="32"/>
          <w:szCs w:val="32"/>
        </w:rPr>
        <w:t>ando</w:t>
      </w:r>
      <w:r w:rsidR="00E62B2D" w:rsidRPr="009277F7">
        <w:rPr>
          <w:rFonts w:ascii="Arial" w:hAnsi="Arial" w:cs="Arial"/>
          <w:sz w:val="32"/>
          <w:szCs w:val="32"/>
        </w:rPr>
        <w:t xml:space="preserve"> para esta </w:t>
      </w:r>
      <w:r w:rsidR="00BB0E1C">
        <w:rPr>
          <w:rFonts w:ascii="Arial" w:hAnsi="Arial" w:cs="Arial"/>
          <w:sz w:val="32"/>
          <w:szCs w:val="32"/>
        </w:rPr>
        <w:t>R</w:t>
      </w:r>
      <w:r w:rsidR="00E62B2D" w:rsidRPr="009277F7">
        <w:rPr>
          <w:rFonts w:ascii="Arial" w:hAnsi="Arial" w:cs="Arial"/>
          <w:sz w:val="32"/>
          <w:szCs w:val="32"/>
        </w:rPr>
        <w:t>elatoria no último dia 29 de julho</w:t>
      </w:r>
      <w:r w:rsidR="004F42DA">
        <w:rPr>
          <w:rFonts w:ascii="Arial" w:hAnsi="Arial" w:cs="Arial"/>
          <w:sz w:val="32"/>
          <w:szCs w:val="32"/>
        </w:rPr>
        <w:t xml:space="preserve"> (doc</w:t>
      </w:r>
      <w:r w:rsidR="007F7BE3">
        <w:rPr>
          <w:rFonts w:ascii="Arial" w:hAnsi="Arial" w:cs="Arial"/>
          <w:sz w:val="32"/>
          <w:szCs w:val="32"/>
        </w:rPr>
        <w:t>s</w:t>
      </w:r>
      <w:r w:rsidR="004F42DA">
        <w:rPr>
          <w:rFonts w:ascii="Arial" w:hAnsi="Arial" w:cs="Arial"/>
          <w:sz w:val="32"/>
          <w:szCs w:val="32"/>
        </w:rPr>
        <w:t>.</w:t>
      </w:r>
      <w:r w:rsidR="008570F6">
        <w:rPr>
          <w:rFonts w:ascii="Arial" w:hAnsi="Arial" w:cs="Arial"/>
          <w:sz w:val="32"/>
          <w:szCs w:val="32"/>
        </w:rPr>
        <w:t xml:space="preserve"> </w:t>
      </w:r>
      <w:r w:rsidR="007F7BE3">
        <w:rPr>
          <w:rFonts w:ascii="Arial" w:hAnsi="Arial" w:cs="Arial"/>
          <w:sz w:val="32"/>
          <w:szCs w:val="32"/>
        </w:rPr>
        <w:t>139/</w:t>
      </w:r>
      <w:r w:rsidR="008570F6">
        <w:rPr>
          <w:rFonts w:ascii="Arial" w:hAnsi="Arial" w:cs="Arial"/>
          <w:sz w:val="32"/>
          <w:szCs w:val="32"/>
        </w:rPr>
        <w:t>140</w:t>
      </w:r>
      <w:r w:rsidR="004F42DA">
        <w:rPr>
          <w:rFonts w:ascii="Arial" w:hAnsi="Arial" w:cs="Arial"/>
          <w:sz w:val="32"/>
          <w:szCs w:val="32"/>
        </w:rPr>
        <w:t>),</w:t>
      </w:r>
      <w:r w:rsidR="00E62B2D" w:rsidRPr="009277F7">
        <w:rPr>
          <w:rFonts w:ascii="Arial" w:hAnsi="Arial" w:cs="Arial"/>
          <w:sz w:val="32"/>
          <w:szCs w:val="32"/>
        </w:rPr>
        <w:t xml:space="preserve"> </w:t>
      </w:r>
      <w:r w:rsidR="004F42DA">
        <w:rPr>
          <w:rFonts w:ascii="Arial" w:hAnsi="Arial" w:cs="Arial"/>
          <w:sz w:val="32"/>
          <w:szCs w:val="32"/>
        </w:rPr>
        <w:t>cujo</w:t>
      </w:r>
      <w:r w:rsidR="00E62B2D" w:rsidRPr="009277F7">
        <w:rPr>
          <w:rFonts w:ascii="Arial" w:hAnsi="Arial" w:cs="Arial"/>
          <w:sz w:val="32"/>
          <w:szCs w:val="32"/>
        </w:rPr>
        <w:t xml:space="preserve"> posicionamento</w:t>
      </w:r>
      <w:r w:rsidR="0026583D">
        <w:rPr>
          <w:rFonts w:ascii="Arial" w:hAnsi="Arial" w:cs="Arial"/>
          <w:sz w:val="32"/>
          <w:szCs w:val="32"/>
        </w:rPr>
        <w:t>, conforme conclusão da senhora Assessora Jurídica Chefe</w:t>
      </w:r>
      <w:r w:rsidR="00E62B2D" w:rsidRPr="009277F7">
        <w:rPr>
          <w:rFonts w:ascii="Arial" w:hAnsi="Arial" w:cs="Arial"/>
          <w:sz w:val="32"/>
          <w:szCs w:val="32"/>
        </w:rPr>
        <w:t>,</w:t>
      </w:r>
      <w:r w:rsidR="004F42DA">
        <w:rPr>
          <w:rFonts w:ascii="Arial" w:hAnsi="Arial" w:cs="Arial"/>
          <w:sz w:val="32"/>
          <w:szCs w:val="32"/>
        </w:rPr>
        <w:t xml:space="preserve"> foi o seguinte,</w:t>
      </w:r>
      <w:r w:rsidR="00E62B2D" w:rsidRPr="009277F7">
        <w:rPr>
          <w:rFonts w:ascii="Arial" w:hAnsi="Arial" w:cs="Arial"/>
          <w:sz w:val="32"/>
          <w:szCs w:val="32"/>
        </w:rPr>
        <w:t xml:space="preserve"> </w:t>
      </w:r>
      <w:r w:rsidR="00E62B2D" w:rsidRPr="009277F7">
        <w:rPr>
          <w:rFonts w:ascii="Arial" w:hAnsi="Arial" w:cs="Arial"/>
          <w:i/>
          <w:sz w:val="32"/>
          <w:szCs w:val="32"/>
        </w:rPr>
        <w:t>in verbis:</w:t>
      </w:r>
    </w:p>
    <w:p w14:paraId="491C3335" w14:textId="77777777" w:rsidR="00E62B2D" w:rsidRPr="009277F7" w:rsidRDefault="00E62B2D" w:rsidP="00961899">
      <w:pPr>
        <w:ind w:firstLine="1134"/>
        <w:jc w:val="both"/>
        <w:rPr>
          <w:rFonts w:ascii="Arial" w:hAnsi="Arial" w:cs="Arial"/>
          <w:i/>
          <w:sz w:val="32"/>
          <w:szCs w:val="32"/>
        </w:rPr>
      </w:pPr>
    </w:p>
    <w:p w14:paraId="59E54A13" w14:textId="77777777" w:rsidR="00E62B2D" w:rsidRPr="009277F7" w:rsidRDefault="004F42DA" w:rsidP="00E62B2D">
      <w:pPr>
        <w:ind w:left="1134"/>
        <w:jc w:val="both"/>
        <w:rPr>
          <w:rFonts w:ascii="Arial" w:hAnsi="Arial" w:cs="Arial"/>
          <w:i/>
          <w:sz w:val="32"/>
          <w:szCs w:val="32"/>
        </w:rPr>
      </w:pPr>
      <w:r w:rsidRPr="004F42DA">
        <w:rPr>
          <w:rFonts w:ascii="Arial" w:hAnsi="Arial" w:cs="Arial"/>
          <w:i/>
          <w:sz w:val="32"/>
          <w:szCs w:val="32"/>
        </w:rPr>
        <w:t xml:space="preserve">Acompanho as conclusões alcançadas pelo Ilustre Assessor preopinante, me permitindo reiterar que, sob o viés jurídico o pretendido aditamento contratual encontra amparo no ordenamento jurídico </w:t>
      </w:r>
      <w:r w:rsidRPr="004F42DA">
        <w:rPr>
          <w:rFonts w:ascii="Arial" w:hAnsi="Arial" w:cs="Arial"/>
          <w:i/>
          <w:sz w:val="32"/>
          <w:szCs w:val="32"/>
        </w:rPr>
        <w:lastRenderedPageBreak/>
        <w:t>vigente – Lei Municipal nº 17.731/22, que, a despeito de ser objeto de questionamentos judiciais acerca da sua constitucionalidade, permanece, até o presente momento, válida e apta a produzir os efeitos jurídicos desejados.</w:t>
      </w:r>
    </w:p>
    <w:p w14:paraId="4C57A23A" w14:textId="77777777" w:rsidR="00E62B2D" w:rsidRPr="009277F7" w:rsidRDefault="004F42DA" w:rsidP="00E62B2D">
      <w:pPr>
        <w:ind w:left="1134"/>
        <w:jc w:val="both"/>
        <w:rPr>
          <w:rFonts w:ascii="Arial" w:hAnsi="Arial" w:cs="Arial"/>
          <w:i/>
          <w:sz w:val="32"/>
          <w:szCs w:val="32"/>
        </w:rPr>
      </w:pPr>
      <w:r w:rsidRPr="004F42DA">
        <w:rPr>
          <w:rFonts w:ascii="Arial" w:hAnsi="Arial" w:cs="Arial"/>
          <w:i/>
          <w:sz w:val="32"/>
          <w:szCs w:val="32"/>
        </w:rPr>
        <w:t>Neste sentido, mister, como bem salientado no parecer precedente, avaliar se os requisitos estabelecidos pelo art. 19 da referida lei estão presentes e aptos a fundamentar a opção discricionária da Administração pelo aditamento contratual, de modo a garantir sua legalidade.</w:t>
      </w:r>
      <w:r w:rsidR="00E62B2D" w:rsidRPr="009277F7">
        <w:rPr>
          <w:rFonts w:ascii="Arial" w:hAnsi="Arial" w:cs="Arial"/>
          <w:i/>
          <w:sz w:val="32"/>
          <w:szCs w:val="32"/>
        </w:rPr>
        <w:t xml:space="preserve"> </w:t>
      </w:r>
    </w:p>
    <w:p w14:paraId="58F7776A" w14:textId="14112B60" w:rsidR="004F42DA" w:rsidRDefault="004F42DA" w:rsidP="00493769">
      <w:pPr>
        <w:ind w:firstLine="1134"/>
        <w:jc w:val="both"/>
        <w:rPr>
          <w:rFonts w:ascii="Arial" w:hAnsi="Arial" w:cs="Arial"/>
          <w:sz w:val="32"/>
          <w:szCs w:val="32"/>
        </w:rPr>
      </w:pPr>
      <w:bookmarkStart w:id="2" w:name="_Hlk110772500"/>
      <w:r>
        <w:rPr>
          <w:rFonts w:ascii="Arial" w:hAnsi="Arial" w:cs="Arial"/>
          <w:sz w:val="32"/>
          <w:szCs w:val="32"/>
        </w:rPr>
        <w:t>A Auditoria desta Corte</w:t>
      </w:r>
      <w:r w:rsidR="00C152FE">
        <w:rPr>
          <w:rFonts w:ascii="Arial" w:hAnsi="Arial" w:cs="Arial"/>
          <w:sz w:val="32"/>
          <w:szCs w:val="32"/>
        </w:rPr>
        <w:t xml:space="preserve">, </w:t>
      </w:r>
      <w:r>
        <w:rPr>
          <w:rFonts w:ascii="Arial" w:hAnsi="Arial" w:cs="Arial"/>
          <w:sz w:val="32"/>
          <w:szCs w:val="32"/>
        </w:rPr>
        <w:t>ao examinar o presente item</w:t>
      </w:r>
      <w:r w:rsidR="00C152FE">
        <w:rPr>
          <w:rFonts w:ascii="Arial" w:hAnsi="Arial" w:cs="Arial"/>
          <w:sz w:val="32"/>
          <w:szCs w:val="32"/>
        </w:rPr>
        <w:t>,</w:t>
      </w:r>
      <w:r>
        <w:rPr>
          <w:rFonts w:ascii="Arial" w:hAnsi="Arial" w:cs="Arial"/>
          <w:sz w:val="32"/>
          <w:szCs w:val="32"/>
        </w:rPr>
        <w:t xml:space="preserve"> teceu diversos questionamentos acerca dos pareceres jurídicos apresentados pela Administração, concluindo, em síntese</w:t>
      </w:r>
      <w:r w:rsidR="007E5FB0">
        <w:rPr>
          <w:rFonts w:ascii="Arial" w:hAnsi="Arial" w:cs="Arial"/>
          <w:sz w:val="32"/>
          <w:szCs w:val="32"/>
        </w:rPr>
        <w:t>,</w:t>
      </w:r>
      <w:r>
        <w:rPr>
          <w:rFonts w:ascii="Arial" w:hAnsi="Arial" w:cs="Arial"/>
          <w:sz w:val="32"/>
          <w:szCs w:val="32"/>
        </w:rPr>
        <w:t xml:space="preserve"> </w:t>
      </w:r>
      <w:r w:rsidR="00493769">
        <w:rPr>
          <w:rFonts w:ascii="Arial" w:hAnsi="Arial" w:cs="Arial"/>
          <w:sz w:val="32"/>
          <w:szCs w:val="32"/>
        </w:rPr>
        <w:t xml:space="preserve">que </w:t>
      </w:r>
      <w:r w:rsidR="002B3EDE">
        <w:rPr>
          <w:rFonts w:ascii="Arial" w:hAnsi="Arial" w:cs="Arial"/>
          <w:sz w:val="32"/>
          <w:szCs w:val="32"/>
        </w:rPr>
        <w:t>não restaram demonstradas nos estudos encaminhados pela Administração as condicionantes fixadas no parecer (</w:t>
      </w:r>
      <w:r w:rsidR="002B3EDE" w:rsidRPr="002B3EDE">
        <w:rPr>
          <w:rFonts w:ascii="Arial" w:hAnsi="Arial" w:cs="Arial"/>
          <w:sz w:val="32"/>
          <w:szCs w:val="32"/>
        </w:rPr>
        <w:t>peça 111, fl. 16)</w:t>
      </w:r>
      <w:r w:rsidR="002B3EDE">
        <w:rPr>
          <w:rFonts w:ascii="Arial" w:hAnsi="Arial" w:cs="Arial"/>
          <w:sz w:val="32"/>
          <w:szCs w:val="32"/>
        </w:rPr>
        <w:t xml:space="preserve"> da </w:t>
      </w:r>
      <w:r w:rsidR="00782B68">
        <w:rPr>
          <w:rFonts w:ascii="Arial" w:hAnsi="Arial" w:cs="Arial"/>
          <w:sz w:val="32"/>
          <w:szCs w:val="32"/>
        </w:rPr>
        <w:t>Assessoria</w:t>
      </w:r>
      <w:r w:rsidR="002B3EDE">
        <w:rPr>
          <w:rFonts w:ascii="Arial" w:hAnsi="Arial" w:cs="Arial"/>
          <w:sz w:val="32"/>
          <w:szCs w:val="32"/>
        </w:rPr>
        <w:t xml:space="preserve"> Jurídica Consultiva da Procuradoria</w:t>
      </w:r>
      <w:r w:rsidR="00782B68">
        <w:rPr>
          <w:rFonts w:ascii="Arial" w:hAnsi="Arial" w:cs="Arial"/>
          <w:sz w:val="32"/>
          <w:szCs w:val="32"/>
        </w:rPr>
        <w:t xml:space="preserve"> do Município</w:t>
      </w:r>
      <w:r w:rsidR="002B3EDE">
        <w:rPr>
          <w:rFonts w:ascii="Arial" w:hAnsi="Arial" w:cs="Arial"/>
          <w:sz w:val="32"/>
          <w:szCs w:val="32"/>
        </w:rPr>
        <w:t>, quais sejam</w:t>
      </w:r>
      <w:r w:rsidR="00782B68">
        <w:rPr>
          <w:rFonts w:ascii="Arial" w:hAnsi="Arial" w:cs="Arial"/>
          <w:sz w:val="32"/>
          <w:szCs w:val="32"/>
        </w:rPr>
        <w:t>:</w:t>
      </w:r>
      <w:r w:rsidR="002B3EDE">
        <w:rPr>
          <w:rFonts w:ascii="Arial" w:hAnsi="Arial" w:cs="Arial"/>
          <w:sz w:val="32"/>
          <w:szCs w:val="32"/>
        </w:rPr>
        <w:t xml:space="preserve"> </w:t>
      </w:r>
      <w:r w:rsidR="002B3EDE" w:rsidRPr="002B3EDE">
        <w:rPr>
          <w:rFonts w:ascii="Arial" w:hAnsi="Arial" w:cs="Arial"/>
          <w:sz w:val="32"/>
          <w:szCs w:val="32"/>
        </w:rPr>
        <w:t>sinergia entre os serviços, vantajosidade econômico-f</w:t>
      </w:r>
      <w:r w:rsidR="002B3EDE">
        <w:rPr>
          <w:rFonts w:ascii="Arial" w:hAnsi="Arial" w:cs="Arial"/>
          <w:sz w:val="32"/>
          <w:szCs w:val="32"/>
        </w:rPr>
        <w:t>inanceira e</w:t>
      </w:r>
      <w:r w:rsidR="002B3EDE" w:rsidRPr="002B3EDE">
        <w:rPr>
          <w:rFonts w:ascii="Arial" w:hAnsi="Arial" w:cs="Arial"/>
          <w:sz w:val="32"/>
          <w:szCs w:val="32"/>
        </w:rPr>
        <w:t xml:space="preserve"> </w:t>
      </w:r>
      <w:r w:rsidR="002B3EDE" w:rsidRPr="00B35EB1">
        <w:rPr>
          <w:rFonts w:ascii="Arial" w:hAnsi="Arial" w:cs="Arial"/>
          <w:sz w:val="32"/>
          <w:szCs w:val="32"/>
        </w:rPr>
        <w:t xml:space="preserve">condições pessoais </w:t>
      </w:r>
      <w:r w:rsidR="002B3EDE">
        <w:rPr>
          <w:rFonts w:ascii="Arial" w:hAnsi="Arial" w:cs="Arial"/>
          <w:sz w:val="32"/>
          <w:szCs w:val="32"/>
        </w:rPr>
        <w:t>da concessionár</w:t>
      </w:r>
      <w:r w:rsidR="00782B68">
        <w:rPr>
          <w:rFonts w:ascii="Arial" w:hAnsi="Arial" w:cs="Arial"/>
          <w:sz w:val="32"/>
          <w:szCs w:val="32"/>
        </w:rPr>
        <w:t xml:space="preserve">ia. </w:t>
      </w:r>
      <w:r w:rsidR="002859CB">
        <w:rPr>
          <w:rFonts w:ascii="Arial" w:hAnsi="Arial" w:cs="Arial"/>
          <w:sz w:val="32"/>
          <w:szCs w:val="32"/>
        </w:rPr>
        <w:t>Questionou</w:t>
      </w:r>
      <w:r w:rsidR="00782B68">
        <w:rPr>
          <w:rFonts w:ascii="Arial" w:hAnsi="Arial" w:cs="Arial"/>
          <w:sz w:val="32"/>
          <w:szCs w:val="32"/>
        </w:rPr>
        <w:t xml:space="preserve"> </w:t>
      </w:r>
      <w:r w:rsidR="007F7BE3">
        <w:rPr>
          <w:rFonts w:ascii="Arial" w:hAnsi="Arial" w:cs="Arial"/>
          <w:sz w:val="32"/>
          <w:szCs w:val="32"/>
        </w:rPr>
        <w:t>ainda as</w:t>
      </w:r>
      <w:r w:rsidR="00782B68">
        <w:rPr>
          <w:rFonts w:ascii="Arial" w:hAnsi="Arial" w:cs="Arial"/>
          <w:sz w:val="32"/>
          <w:szCs w:val="32"/>
        </w:rPr>
        <w:t xml:space="preserve"> experiências internacionais aduzidas pela Origem e a inaptidão da incorporação dos serviços semafóricos à PPP</w:t>
      </w:r>
      <w:r w:rsidR="00782B68" w:rsidRPr="00782B68">
        <w:rPr>
          <w:rFonts w:ascii="Arial" w:hAnsi="Arial" w:cs="Arial"/>
          <w:sz w:val="32"/>
          <w:szCs w:val="32"/>
        </w:rPr>
        <w:t xml:space="preserve"> como meio de promover a política pública de gestão integrada de serviços (</w:t>
      </w:r>
      <w:r w:rsidR="00694DF5">
        <w:rPr>
          <w:rFonts w:ascii="Arial" w:hAnsi="Arial" w:cs="Arial"/>
          <w:sz w:val="32"/>
          <w:szCs w:val="32"/>
        </w:rPr>
        <w:t>S</w:t>
      </w:r>
      <w:r w:rsidR="00782B68" w:rsidRPr="00782B68">
        <w:rPr>
          <w:rFonts w:ascii="Arial" w:hAnsi="Arial" w:cs="Arial"/>
          <w:sz w:val="32"/>
          <w:szCs w:val="32"/>
        </w:rPr>
        <w:t xml:space="preserve">mart </w:t>
      </w:r>
      <w:r w:rsidR="00694DF5">
        <w:rPr>
          <w:rFonts w:ascii="Arial" w:hAnsi="Arial" w:cs="Arial"/>
          <w:sz w:val="32"/>
          <w:szCs w:val="32"/>
        </w:rPr>
        <w:t>C</w:t>
      </w:r>
      <w:r w:rsidR="00782B68" w:rsidRPr="00782B68">
        <w:rPr>
          <w:rFonts w:ascii="Arial" w:hAnsi="Arial" w:cs="Arial"/>
          <w:sz w:val="32"/>
          <w:szCs w:val="32"/>
        </w:rPr>
        <w:t>ity)</w:t>
      </w:r>
      <w:r w:rsidR="00782B68">
        <w:rPr>
          <w:rFonts w:ascii="Arial" w:hAnsi="Arial" w:cs="Arial"/>
          <w:sz w:val="32"/>
          <w:szCs w:val="32"/>
        </w:rPr>
        <w:t xml:space="preserve"> na cidade.</w:t>
      </w:r>
    </w:p>
    <w:bookmarkEnd w:id="2"/>
    <w:p w14:paraId="28AD1060" w14:textId="77777777" w:rsidR="00782B68" w:rsidRDefault="00782B68" w:rsidP="00961899">
      <w:pPr>
        <w:ind w:firstLine="1134"/>
        <w:jc w:val="both"/>
        <w:rPr>
          <w:rFonts w:ascii="Arial" w:hAnsi="Arial" w:cs="Arial"/>
          <w:sz w:val="32"/>
          <w:szCs w:val="32"/>
        </w:rPr>
      </w:pPr>
      <w:r>
        <w:rPr>
          <w:rFonts w:ascii="Arial" w:hAnsi="Arial" w:cs="Arial"/>
          <w:sz w:val="32"/>
          <w:szCs w:val="32"/>
        </w:rPr>
        <w:t xml:space="preserve">Acerca da questão jurídica debatida nos autos, o primeiro ponto </w:t>
      </w:r>
      <w:r w:rsidR="006B250B">
        <w:rPr>
          <w:rFonts w:ascii="Arial" w:hAnsi="Arial" w:cs="Arial"/>
          <w:sz w:val="32"/>
          <w:szCs w:val="32"/>
        </w:rPr>
        <w:t>a ser analisado</w:t>
      </w:r>
      <w:r>
        <w:rPr>
          <w:rFonts w:ascii="Arial" w:hAnsi="Arial" w:cs="Arial"/>
          <w:sz w:val="32"/>
          <w:szCs w:val="32"/>
        </w:rPr>
        <w:t xml:space="preserve"> refere-se à legalidade da opção pretendida pela Administração.</w:t>
      </w:r>
    </w:p>
    <w:p w14:paraId="1259F7D0" w14:textId="77777777" w:rsidR="00782B68" w:rsidRDefault="00782B68" w:rsidP="00E72AE3">
      <w:pPr>
        <w:ind w:firstLine="1134"/>
        <w:jc w:val="both"/>
        <w:rPr>
          <w:rFonts w:ascii="Arial" w:hAnsi="Arial" w:cs="Arial"/>
          <w:sz w:val="32"/>
          <w:szCs w:val="32"/>
        </w:rPr>
      </w:pPr>
      <w:r>
        <w:rPr>
          <w:rFonts w:ascii="Arial" w:hAnsi="Arial" w:cs="Arial"/>
          <w:sz w:val="32"/>
          <w:szCs w:val="32"/>
        </w:rPr>
        <w:t xml:space="preserve">Nesse sentido, encontra-se em </w:t>
      </w:r>
      <w:r w:rsidR="00E72AE3">
        <w:rPr>
          <w:rFonts w:ascii="Arial" w:hAnsi="Arial" w:cs="Arial"/>
          <w:sz w:val="32"/>
          <w:szCs w:val="32"/>
        </w:rPr>
        <w:t>vigor a</w:t>
      </w:r>
      <w:r w:rsidR="00E72AE3" w:rsidRPr="00E72AE3">
        <w:rPr>
          <w:rFonts w:ascii="Arial" w:hAnsi="Arial" w:cs="Arial"/>
          <w:sz w:val="32"/>
          <w:szCs w:val="32"/>
        </w:rPr>
        <w:t xml:space="preserve"> Lei municipal n</w:t>
      </w:r>
      <w:r w:rsidR="00E72AE3">
        <w:rPr>
          <w:rFonts w:ascii="Arial" w:hAnsi="Arial" w:cs="Arial"/>
          <w:sz w:val="32"/>
          <w:szCs w:val="32"/>
        </w:rPr>
        <w:t>º</w:t>
      </w:r>
      <w:r w:rsidR="00E72AE3" w:rsidRPr="00E72AE3">
        <w:rPr>
          <w:rFonts w:ascii="Arial" w:hAnsi="Arial" w:cs="Arial"/>
          <w:sz w:val="32"/>
          <w:szCs w:val="32"/>
        </w:rPr>
        <w:t>. 17.731, de 6 de janeiro de 2022, "que estabelece as</w:t>
      </w:r>
      <w:r w:rsidR="00E72AE3">
        <w:rPr>
          <w:rFonts w:ascii="Arial" w:hAnsi="Arial" w:cs="Arial"/>
          <w:sz w:val="32"/>
          <w:szCs w:val="32"/>
        </w:rPr>
        <w:t xml:space="preserve"> </w:t>
      </w:r>
      <w:r w:rsidR="00E72AE3" w:rsidRPr="00E72AE3">
        <w:rPr>
          <w:rFonts w:ascii="Arial" w:hAnsi="Arial" w:cs="Arial"/>
          <w:sz w:val="32"/>
          <w:szCs w:val="32"/>
        </w:rPr>
        <w:t>diretrizes gerais para a prorrogação e relicitação dos contratos de parceria entre o Município de São</w:t>
      </w:r>
      <w:r w:rsidR="00E72AE3">
        <w:rPr>
          <w:rFonts w:ascii="Arial" w:hAnsi="Arial" w:cs="Arial"/>
          <w:sz w:val="32"/>
          <w:szCs w:val="32"/>
        </w:rPr>
        <w:t xml:space="preserve"> </w:t>
      </w:r>
      <w:r w:rsidR="00E72AE3" w:rsidRPr="00E72AE3">
        <w:rPr>
          <w:rFonts w:ascii="Arial" w:hAnsi="Arial" w:cs="Arial"/>
          <w:sz w:val="32"/>
          <w:szCs w:val="32"/>
        </w:rPr>
        <w:t>Paulo e a iniciativa privada, e dá as providências correlatas</w:t>
      </w:r>
      <w:r w:rsidR="00E72AE3">
        <w:rPr>
          <w:rFonts w:ascii="Arial" w:hAnsi="Arial" w:cs="Arial"/>
          <w:sz w:val="32"/>
          <w:szCs w:val="32"/>
        </w:rPr>
        <w:t>”.</w:t>
      </w:r>
    </w:p>
    <w:p w14:paraId="20849E3D" w14:textId="77777777" w:rsidR="00E72AE3" w:rsidRDefault="00E72AE3" w:rsidP="00E72AE3">
      <w:pPr>
        <w:ind w:firstLine="1134"/>
        <w:jc w:val="both"/>
        <w:rPr>
          <w:rFonts w:ascii="Arial" w:hAnsi="Arial" w:cs="Arial"/>
          <w:sz w:val="32"/>
          <w:szCs w:val="32"/>
        </w:rPr>
      </w:pPr>
      <w:r>
        <w:rPr>
          <w:rFonts w:ascii="Arial" w:hAnsi="Arial" w:cs="Arial"/>
          <w:sz w:val="32"/>
          <w:szCs w:val="32"/>
        </w:rPr>
        <w:lastRenderedPageBreak/>
        <w:t xml:space="preserve">A citada legislação </w:t>
      </w:r>
      <w:r w:rsidR="006B250B">
        <w:rPr>
          <w:rFonts w:ascii="Arial" w:hAnsi="Arial" w:cs="Arial"/>
          <w:sz w:val="32"/>
          <w:szCs w:val="32"/>
        </w:rPr>
        <w:t>disciplina as</w:t>
      </w:r>
      <w:r>
        <w:rPr>
          <w:rFonts w:ascii="Arial" w:hAnsi="Arial" w:cs="Arial"/>
          <w:sz w:val="32"/>
          <w:szCs w:val="32"/>
        </w:rPr>
        <w:t xml:space="preserve"> hipóteses de </w:t>
      </w:r>
      <w:r w:rsidR="00CB2404">
        <w:rPr>
          <w:rFonts w:ascii="Arial" w:hAnsi="Arial" w:cs="Arial"/>
          <w:sz w:val="32"/>
          <w:szCs w:val="32"/>
        </w:rPr>
        <w:t xml:space="preserve">prorrogação contratual, prorrogação antecipada e extensão dos </w:t>
      </w:r>
      <w:r w:rsidR="0026583D">
        <w:rPr>
          <w:rFonts w:ascii="Arial" w:hAnsi="Arial" w:cs="Arial"/>
          <w:sz w:val="32"/>
          <w:szCs w:val="32"/>
        </w:rPr>
        <w:t>ajustes</w:t>
      </w:r>
      <w:r w:rsidR="00CB2404">
        <w:rPr>
          <w:rFonts w:ascii="Arial" w:hAnsi="Arial" w:cs="Arial"/>
          <w:sz w:val="32"/>
          <w:szCs w:val="32"/>
        </w:rPr>
        <w:t xml:space="preserve"> denominados de parceria, </w:t>
      </w:r>
      <w:r w:rsidR="006B250B">
        <w:rPr>
          <w:rFonts w:ascii="Arial" w:hAnsi="Arial" w:cs="Arial"/>
          <w:sz w:val="32"/>
          <w:szCs w:val="32"/>
        </w:rPr>
        <w:t>conceito que engloba os</w:t>
      </w:r>
      <w:r w:rsidR="00CB2404">
        <w:rPr>
          <w:rFonts w:ascii="Arial" w:hAnsi="Arial" w:cs="Arial"/>
          <w:sz w:val="32"/>
          <w:szCs w:val="32"/>
        </w:rPr>
        <w:t xml:space="preserve"> </w:t>
      </w:r>
      <w:r w:rsidR="00CB2404" w:rsidRPr="00CB2404">
        <w:rPr>
          <w:rFonts w:ascii="Arial" w:hAnsi="Arial" w:cs="Arial"/>
          <w:sz w:val="32"/>
          <w:szCs w:val="32"/>
        </w:rPr>
        <w:t>contratos de concessão comum, concessão patroc</w:t>
      </w:r>
      <w:r w:rsidR="00CB2404">
        <w:rPr>
          <w:rFonts w:ascii="Arial" w:hAnsi="Arial" w:cs="Arial"/>
          <w:sz w:val="32"/>
          <w:szCs w:val="32"/>
        </w:rPr>
        <w:t xml:space="preserve">inada, concessão administrativa, </w:t>
      </w:r>
      <w:r w:rsidR="006B250B">
        <w:rPr>
          <w:rFonts w:ascii="Arial" w:hAnsi="Arial" w:cs="Arial"/>
          <w:sz w:val="32"/>
          <w:szCs w:val="32"/>
        </w:rPr>
        <w:t>além de outras modalidades</w:t>
      </w:r>
      <w:r w:rsidR="00CB2404">
        <w:rPr>
          <w:rFonts w:ascii="Arial" w:hAnsi="Arial" w:cs="Arial"/>
          <w:sz w:val="32"/>
          <w:szCs w:val="32"/>
        </w:rPr>
        <w:t>, com a finalidade</w:t>
      </w:r>
      <w:r w:rsidR="006B250B">
        <w:rPr>
          <w:rFonts w:ascii="Arial" w:hAnsi="Arial" w:cs="Arial"/>
          <w:sz w:val="32"/>
          <w:szCs w:val="32"/>
        </w:rPr>
        <w:t>, por exemplo,</w:t>
      </w:r>
      <w:r w:rsidR="00CB2404">
        <w:rPr>
          <w:rFonts w:ascii="Arial" w:hAnsi="Arial" w:cs="Arial"/>
          <w:sz w:val="32"/>
          <w:szCs w:val="32"/>
        </w:rPr>
        <w:t xml:space="preserve"> de permitir a exploração conjunta de serviços e o compartilhamento de infraestruturas públicas</w:t>
      </w:r>
      <w:r w:rsidR="00493769">
        <w:rPr>
          <w:rFonts w:ascii="Arial" w:hAnsi="Arial" w:cs="Arial"/>
          <w:sz w:val="32"/>
          <w:szCs w:val="32"/>
        </w:rPr>
        <w:t>,</w:t>
      </w:r>
      <w:r w:rsidR="006B250B">
        <w:rPr>
          <w:rFonts w:ascii="Arial" w:hAnsi="Arial" w:cs="Arial"/>
          <w:sz w:val="32"/>
          <w:szCs w:val="32"/>
        </w:rPr>
        <w:t xml:space="preserve"> </w:t>
      </w:r>
      <w:r w:rsidR="00CB2404">
        <w:rPr>
          <w:rFonts w:ascii="Arial" w:hAnsi="Arial" w:cs="Arial"/>
          <w:sz w:val="32"/>
          <w:szCs w:val="32"/>
        </w:rPr>
        <w:t xml:space="preserve"> conforme estabelecido no </w:t>
      </w:r>
      <w:r w:rsidR="00CB2404" w:rsidRPr="00CB2404">
        <w:rPr>
          <w:rFonts w:ascii="Arial" w:hAnsi="Arial" w:cs="Arial"/>
          <w:i/>
          <w:sz w:val="32"/>
          <w:szCs w:val="32"/>
        </w:rPr>
        <w:t>caput</w:t>
      </w:r>
      <w:r w:rsidR="00CB2404">
        <w:rPr>
          <w:rFonts w:ascii="Arial" w:hAnsi="Arial" w:cs="Arial"/>
          <w:sz w:val="32"/>
          <w:szCs w:val="32"/>
        </w:rPr>
        <w:t xml:space="preserve"> do art. 5º desta legislação.</w:t>
      </w:r>
    </w:p>
    <w:p w14:paraId="1AB73C11" w14:textId="77777777" w:rsidR="00CB2404" w:rsidRPr="00CB2404" w:rsidRDefault="00CB2404" w:rsidP="00CB2404">
      <w:pPr>
        <w:ind w:firstLine="1134"/>
        <w:jc w:val="both"/>
        <w:rPr>
          <w:rFonts w:ascii="Arial" w:hAnsi="Arial" w:cs="Arial"/>
          <w:sz w:val="32"/>
          <w:szCs w:val="32"/>
        </w:rPr>
      </w:pPr>
      <w:r>
        <w:rPr>
          <w:rFonts w:ascii="Arial" w:hAnsi="Arial" w:cs="Arial"/>
          <w:sz w:val="32"/>
          <w:szCs w:val="32"/>
        </w:rPr>
        <w:t xml:space="preserve">Cabe ressaltar a disposição contida no parágrafo único deste artigo, segundo o qual permite-se a prorrogação contratual para incorporação de </w:t>
      </w:r>
      <w:r w:rsidRPr="00CB2404">
        <w:rPr>
          <w:rFonts w:ascii="Arial" w:hAnsi="Arial" w:cs="Arial"/>
          <w:sz w:val="32"/>
          <w:szCs w:val="32"/>
        </w:rPr>
        <w:t>projetos associados em contratos de parcerias com vistas ao incremento da eficiência, economicidade, economia de escala e escopo decorrente do compartilhamento de infraestruturas públicas e aproveitamento de sinergias operacionais.</w:t>
      </w:r>
    </w:p>
    <w:p w14:paraId="02880A9B" w14:textId="77777777" w:rsidR="00CB2404" w:rsidRDefault="001E48D2" w:rsidP="00E72AE3">
      <w:pPr>
        <w:ind w:firstLine="1134"/>
        <w:jc w:val="both"/>
        <w:rPr>
          <w:rFonts w:ascii="Arial" w:hAnsi="Arial" w:cs="Arial"/>
          <w:sz w:val="32"/>
          <w:szCs w:val="32"/>
        </w:rPr>
      </w:pPr>
      <w:r>
        <w:rPr>
          <w:rFonts w:ascii="Arial" w:hAnsi="Arial" w:cs="Arial"/>
          <w:sz w:val="32"/>
          <w:szCs w:val="32"/>
        </w:rPr>
        <w:t xml:space="preserve">Para tanto, </w:t>
      </w:r>
      <w:r w:rsidR="006B250B">
        <w:rPr>
          <w:rFonts w:ascii="Arial" w:hAnsi="Arial" w:cs="Arial"/>
          <w:sz w:val="32"/>
          <w:szCs w:val="32"/>
        </w:rPr>
        <w:t>consoante o art. 7º desta lei</w:t>
      </w:r>
      <w:r>
        <w:rPr>
          <w:rFonts w:ascii="Arial" w:hAnsi="Arial" w:cs="Arial"/>
          <w:sz w:val="32"/>
          <w:szCs w:val="32"/>
        </w:rPr>
        <w:t xml:space="preserve">, a </w:t>
      </w:r>
      <w:r w:rsidRPr="001E48D2">
        <w:rPr>
          <w:rFonts w:ascii="Arial" w:hAnsi="Arial" w:cs="Arial"/>
          <w:sz w:val="32"/>
          <w:szCs w:val="32"/>
        </w:rPr>
        <w:t>entidade</w:t>
      </w:r>
      <w:r w:rsidR="006B250B">
        <w:rPr>
          <w:rFonts w:ascii="Arial" w:hAnsi="Arial" w:cs="Arial"/>
          <w:sz w:val="32"/>
          <w:szCs w:val="32"/>
        </w:rPr>
        <w:t xml:space="preserve"> da Administração</w:t>
      </w:r>
      <w:r w:rsidRPr="001E48D2">
        <w:rPr>
          <w:rFonts w:ascii="Arial" w:hAnsi="Arial" w:cs="Arial"/>
          <w:sz w:val="32"/>
          <w:szCs w:val="32"/>
        </w:rPr>
        <w:t xml:space="preserve"> competente</w:t>
      </w:r>
      <w:r>
        <w:rPr>
          <w:rFonts w:ascii="Arial" w:hAnsi="Arial" w:cs="Arial"/>
          <w:sz w:val="32"/>
          <w:szCs w:val="32"/>
        </w:rPr>
        <w:t xml:space="preserve"> deverá </w:t>
      </w:r>
      <w:r w:rsidRPr="001E48D2">
        <w:rPr>
          <w:rFonts w:ascii="Arial" w:hAnsi="Arial" w:cs="Arial"/>
          <w:sz w:val="32"/>
          <w:szCs w:val="32"/>
        </w:rPr>
        <w:t>apresentar estudo técnico que fundamente a vantagem da prorrogação do contrato de parceria em relação à realização de nova li</w:t>
      </w:r>
      <w:r>
        <w:rPr>
          <w:rFonts w:ascii="Arial" w:hAnsi="Arial" w:cs="Arial"/>
          <w:sz w:val="32"/>
          <w:szCs w:val="32"/>
        </w:rPr>
        <w:t>citação para o empreendimento, atendidos um conjunto extenso de requisitos previstos no § 1º deste dispositivo.</w:t>
      </w:r>
    </w:p>
    <w:p w14:paraId="380B9927" w14:textId="77777777" w:rsidR="00064246" w:rsidRDefault="00064246" w:rsidP="00E72AE3">
      <w:pPr>
        <w:ind w:firstLine="1134"/>
        <w:jc w:val="both"/>
        <w:rPr>
          <w:rFonts w:ascii="Arial" w:hAnsi="Arial" w:cs="Arial"/>
          <w:sz w:val="32"/>
          <w:szCs w:val="32"/>
        </w:rPr>
      </w:pPr>
      <w:r>
        <w:rPr>
          <w:rFonts w:ascii="Arial" w:hAnsi="Arial" w:cs="Arial"/>
          <w:sz w:val="32"/>
          <w:szCs w:val="32"/>
        </w:rPr>
        <w:t>Ainda, tais disposições devem ser conjugadas com a previsão do art. 19 da Lei 17.731, segundo o qual:</w:t>
      </w:r>
    </w:p>
    <w:p w14:paraId="2FFF3387" w14:textId="77777777" w:rsidR="00064246" w:rsidRPr="00064246" w:rsidRDefault="00064246" w:rsidP="00064246">
      <w:pPr>
        <w:ind w:left="1134"/>
        <w:jc w:val="both"/>
        <w:rPr>
          <w:rFonts w:ascii="Arial" w:hAnsi="Arial" w:cs="Arial"/>
          <w:i/>
          <w:sz w:val="32"/>
          <w:szCs w:val="32"/>
        </w:rPr>
      </w:pPr>
      <w:r w:rsidRPr="00064246">
        <w:rPr>
          <w:rFonts w:ascii="Arial" w:hAnsi="Arial" w:cs="Arial"/>
          <w:i/>
          <w:sz w:val="32"/>
          <w:szCs w:val="32"/>
        </w:rPr>
        <w:t>Art. 19. O Poder Executivo Municipal poderá, observada a sinergia de serviços, economicidade, economia de escala, agregar aos contratos vigentes serviços associados, observadas as disposições dos respectivos instrumentos contratuais, devendo o ente da administração municipal responsável pelos encargos técnicos figurar como interveniente anuente do ajuste.</w:t>
      </w:r>
    </w:p>
    <w:p w14:paraId="6C68A206" w14:textId="77777777" w:rsidR="001E48D2" w:rsidRDefault="001E48D2" w:rsidP="00E72AE3">
      <w:pPr>
        <w:ind w:firstLine="1134"/>
        <w:jc w:val="both"/>
        <w:rPr>
          <w:rFonts w:ascii="Arial" w:hAnsi="Arial" w:cs="Arial"/>
          <w:sz w:val="32"/>
          <w:szCs w:val="32"/>
        </w:rPr>
      </w:pPr>
    </w:p>
    <w:p w14:paraId="051CB42C" w14:textId="77777777" w:rsidR="00064246" w:rsidRDefault="00015E6B" w:rsidP="00961899">
      <w:pPr>
        <w:ind w:firstLine="1134"/>
        <w:jc w:val="both"/>
        <w:rPr>
          <w:rFonts w:ascii="Arial" w:hAnsi="Arial" w:cs="Arial"/>
          <w:sz w:val="32"/>
          <w:szCs w:val="32"/>
        </w:rPr>
      </w:pPr>
      <w:r>
        <w:rPr>
          <w:rFonts w:ascii="Arial" w:hAnsi="Arial" w:cs="Arial"/>
          <w:sz w:val="32"/>
          <w:szCs w:val="32"/>
        </w:rPr>
        <w:lastRenderedPageBreak/>
        <w:t>Não se desconhece que a citada legislação é objeto de ações de controle concent</w:t>
      </w:r>
      <w:r w:rsidR="00EF757A">
        <w:rPr>
          <w:rFonts w:ascii="Arial" w:hAnsi="Arial" w:cs="Arial"/>
          <w:sz w:val="32"/>
          <w:szCs w:val="32"/>
        </w:rPr>
        <w:t>rado de constitucionalidade no âmbito do Supremo Tribunal Federal e também no Tribunal de Justiça de São Paulo, não havendo, contudo, até o momento, qualquer decisão, ainda que em sede cautelar, que retire a eficácia da Lei 17.731/2022.</w:t>
      </w:r>
    </w:p>
    <w:p w14:paraId="3938B65B" w14:textId="77777777" w:rsidR="00EF757A" w:rsidRDefault="00EF757A" w:rsidP="00FD0CFA">
      <w:pPr>
        <w:ind w:firstLine="1134"/>
        <w:jc w:val="both"/>
        <w:rPr>
          <w:rFonts w:ascii="Arial" w:hAnsi="Arial" w:cs="Arial"/>
          <w:sz w:val="32"/>
          <w:szCs w:val="32"/>
        </w:rPr>
      </w:pPr>
      <w:r>
        <w:rPr>
          <w:rFonts w:ascii="Arial" w:hAnsi="Arial" w:cs="Arial"/>
          <w:sz w:val="32"/>
          <w:szCs w:val="32"/>
        </w:rPr>
        <w:t xml:space="preserve">Cabe destacar que </w:t>
      </w:r>
      <w:r w:rsidR="00FD0CFA">
        <w:rPr>
          <w:rFonts w:ascii="Arial" w:hAnsi="Arial" w:cs="Arial"/>
          <w:sz w:val="32"/>
          <w:szCs w:val="32"/>
        </w:rPr>
        <w:t>o STF teve oportunidade de analisar legislação federal que, apesar de ser relativa à setores específicos, guarda similaridade com a lei municipal em referência. Trata-se da L</w:t>
      </w:r>
      <w:r w:rsidR="00FD0CFA" w:rsidRPr="00FD0CFA">
        <w:rPr>
          <w:rFonts w:ascii="Arial" w:hAnsi="Arial" w:cs="Arial"/>
          <w:sz w:val="32"/>
          <w:szCs w:val="32"/>
        </w:rPr>
        <w:t>ei federal</w:t>
      </w:r>
      <w:r w:rsidR="00FD0CFA">
        <w:rPr>
          <w:rFonts w:ascii="Arial" w:hAnsi="Arial" w:cs="Arial"/>
          <w:sz w:val="32"/>
          <w:szCs w:val="32"/>
        </w:rPr>
        <w:t xml:space="preserve"> nº</w:t>
      </w:r>
      <w:r w:rsidR="00FD0CFA" w:rsidRPr="00FD0CFA">
        <w:rPr>
          <w:rFonts w:ascii="Arial" w:hAnsi="Arial" w:cs="Arial"/>
          <w:sz w:val="32"/>
          <w:szCs w:val="32"/>
        </w:rPr>
        <w:t xml:space="preserve"> 13.448/2017, que estabelece diretrizes para</w:t>
      </w:r>
      <w:r w:rsidR="00FD0CFA">
        <w:rPr>
          <w:rFonts w:ascii="Arial" w:hAnsi="Arial" w:cs="Arial"/>
          <w:sz w:val="32"/>
          <w:szCs w:val="32"/>
        </w:rPr>
        <w:t xml:space="preserve"> </w:t>
      </w:r>
      <w:r w:rsidR="00FD0CFA" w:rsidRPr="00FD0CFA">
        <w:rPr>
          <w:rFonts w:ascii="Arial" w:hAnsi="Arial" w:cs="Arial"/>
          <w:sz w:val="32"/>
          <w:szCs w:val="32"/>
        </w:rPr>
        <w:t>a prorrogação e relicitação dos contratos de concessão do setor rodoviário, ferroviário e</w:t>
      </w:r>
      <w:r w:rsidR="00FD0CFA">
        <w:rPr>
          <w:rFonts w:ascii="Arial" w:hAnsi="Arial" w:cs="Arial"/>
          <w:sz w:val="32"/>
          <w:szCs w:val="32"/>
        </w:rPr>
        <w:t xml:space="preserve"> </w:t>
      </w:r>
      <w:r w:rsidR="00FD0CFA" w:rsidRPr="00FD0CFA">
        <w:rPr>
          <w:rFonts w:ascii="Arial" w:hAnsi="Arial" w:cs="Arial"/>
          <w:sz w:val="32"/>
          <w:szCs w:val="32"/>
        </w:rPr>
        <w:t>aeroportuário.</w:t>
      </w:r>
    </w:p>
    <w:p w14:paraId="4FB887A4" w14:textId="77777777" w:rsidR="0008022F" w:rsidRDefault="00980FB6" w:rsidP="00980FB6">
      <w:pPr>
        <w:ind w:firstLine="1134"/>
        <w:jc w:val="both"/>
        <w:rPr>
          <w:rFonts w:ascii="Arial" w:hAnsi="Arial" w:cs="Arial"/>
          <w:sz w:val="32"/>
          <w:szCs w:val="32"/>
        </w:rPr>
      </w:pPr>
      <w:r>
        <w:rPr>
          <w:rFonts w:ascii="Arial" w:hAnsi="Arial" w:cs="Arial"/>
          <w:sz w:val="32"/>
          <w:szCs w:val="32"/>
        </w:rPr>
        <w:t>O</w:t>
      </w:r>
      <w:r w:rsidRPr="00980FB6">
        <w:rPr>
          <w:rFonts w:ascii="Arial" w:hAnsi="Arial" w:cs="Arial"/>
          <w:sz w:val="32"/>
          <w:szCs w:val="32"/>
        </w:rPr>
        <w:t xml:space="preserve"> Supremo Tribunal Federal</w:t>
      </w:r>
      <w:r>
        <w:rPr>
          <w:rFonts w:ascii="Arial" w:hAnsi="Arial" w:cs="Arial"/>
          <w:sz w:val="32"/>
          <w:szCs w:val="32"/>
        </w:rPr>
        <w:t>, no julgamento da ADI 5991, da relatoria da Min. Carmen Lúcia,</w:t>
      </w:r>
      <w:r w:rsidRPr="00980FB6">
        <w:rPr>
          <w:rFonts w:ascii="Arial" w:hAnsi="Arial" w:cs="Arial"/>
          <w:sz w:val="32"/>
          <w:szCs w:val="32"/>
        </w:rPr>
        <w:t xml:space="preserve"> reputou constitucional referida norma federal,</w:t>
      </w:r>
      <w:r>
        <w:rPr>
          <w:rFonts w:ascii="Arial" w:hAnsi="Arial" w:cs="Arial"/>
          <w:sz w:val="32"/>
          <w:szCs w:val="32"/>
        </w:rPr>
        <w:t xml:space="preserve"> </w:t>
      </w:r>
      <w:r w:rsidRPr="00980FB6">
        <w:rPr>
          <w:rFonts w:ascii="Arial" w:hAnsi="Arial" w:cs="Arial"/>
          <w:sz w:val="32"/>
          <w:szCs w:val="32"/>
        </w:rPr>
        <w:t>conquanto somente alguns preceitos tenham sido impugnados</w:t>
      </w:r>
      <w:r w:rsidR="0008022F">
        <w:rPr>
          <w:rFonts w:ascii="Arial" w:hAnsi="Arial" w:cs="Arial"/>
          <w:sz w:val="32"/>
          <w:szCs w:val="32"/>
        </w:rPr>
        <w:t>.</w:t>
      </w:r>
    </w:p>
    <w:p w14:paraId="75387C76" w14:textId="581A2D69" w:rsidR="00C06343" w:rsidRPr="00C06343" w:rsidRDefault="0008022F" w:rsidP="00C06343">
      <w:pPr>
        <w:ind w:firstLine="1134"/>
        <w:jc w:val="both"/>
        <w:rPr>
          <w:rFonts w:ascii="Arial" w:hAnsi="Arial" w:cs="Arial"/>
          <w:sz w:val="32"/>
          <w:szCs w:val="32"/>
        </w:rPr>
      </w:pPr>
      <w:r>
        <w:rPr>
          <w:rFonts w:ascii="Arial" w:hAnsi="Arial" w:cs="Arial"/>
          <w:sz w:val="32"/>
          <w:szCs w:val="32"/>
        </w:rPr>
        <w:t>Outrossim, não compete a est</w:t>
      </w:r>
      <w:r w:rsidR="00096122">
        <w:rPr>
          <w:rFonts w:ascii="Arial" w:hAnsi="Arial" w:cs="Arial"/>
          <w:sz w:val="32"/>
          <w:szCs w:val="32"/>
        </w:rPr>
        <w:t>a</w:t>
      </w:r>
      <w:r>
        <w:rPr>
          <w:rFonts w:ascii="Arial" w:hAnsi="Arial" w:cs="Arial"/>
          <w:sz w:val="32"/>
          <w:szCs w:val="32"/>
        </w:rPr>
        <w:t xml:space="preserve"> Corte de Contas se imiscuir no exame da constitucionalidade de legislações editadas validamente no âmbito do município, tendo em vista a inaplicabilidade da Súmula </w:t>
      </w:r>
      <w:r w:rsidR="00C06343" w:rsidRPr="00C06343">
        <w:rPr>
          <w:rFonts w:ascii="Arial" w:hAnsi="Arial" w:cs="Arial"/>
          <w:sz w:val="32"/>
          <w:szCs w:val="32"/>
        </w:rPr>
        <w:t>347 do STF</w:t>
      </w:r>
      <w:r w:rsidR="00C06343">
        <w:rPr>
          <w:rFonts w:ascii="Arial" w:hAnsi="Arial" w:cs="Arial"/>
          <w:sz w:val="32"/>
          <w:szCs w:val="32"/>
        </w:rPr>
        <w:t xml:space="preserve">, conforme se extrai, por similitude, do conteúdo da decisão proferida pelo Min. Alexandre de Moraes no julgamento do </w:t>
      </w:r>
      <w:r w:rsidR="00C06343" w:rsidRPr="00C06343">
        <w:rPr>
          <w:rFonts w:ascii="Arial" w:hAnsi="Arial" w:cs="Arial"/>
          <w:sz w:val="32"/>
          <w:szCs w:val="32"/>
        </w:rPr>
        <w:t>MS 35.410 MC</w:t>
      </w:r>
      <w:r w:rsidR="00C06343">
        <w:rPr>
          <w:rFonts w:ascii="Arial" w:hAnsi="Arial" w:cs="Arial"/>
          <w:sz w:val="32"/>
          <w:szCs w:val="32"/>
        </w:rPr>
        <w:t>, conforme segue:</w:t>
      </w:r>
    </w:p>
    <w:p w14:paraId="130BAB90" w14:textId="77777777" w:rsidR="00C06343" w:rsidRPr="00C06343" w:rsidRDefault="00C06343" w:rsidP="00C06343">
      <w:pPr>
        <w:ind w:left="1134"/>
        <w:jc w:val="both"/>
        <w:rPr>
          <w:rFonts w:ascii="Arial" w:hAnsi="Arial" w:cs="Arial"/>
          <w:color w:val="000000" w:themeColor="text1"/>
          <w:sz w:val="32"/>
          <w:szCs w:val="32"/>
        </w:rPr>
      </w:pPr>
      <w:r w:rsidRPr="00096122">
        <w:rPr>
          <w:rFonts w:ascii="Arial" w:hAnsi="Arial" w:cs="Arial"/>
          <w:i/>
          <w:color w:val="000000" w:themeColor="text1"/>
          <w:sz w:val="32"/>
          <w:szCs w:val="32"/>
        </w:rPr>
        <w:t>Dentro da perspectiva constitucional inaugurada em 1988, o Tribunal de Contas da União é órgão técnico de fiscalização contábil, financeira e orçamentária, cuja competência é delimitada pelo artigo 71 do </w:t>
      </w:r>
      <w:hyperlink r:id="rId8" w:tgtFrame="_blank" w:history="1">
        <w:r w:rsidRPr="00096122">
          <w:rPr>
            <w:rStyle w:val="Hyperlink"/>
            <w:rFonts w:ascii="Arial" w:hAnsi="Arial" w:cs="Arial"/>
            <w:i/>
            <w:color w:val="000000" w:themeColor="text1"/>
            <w:sz w:val="32"/>
            <w:szCs w:val="32"/>
            <w:u w:val="none"/>
          </w:rPr>
          <w:t>texto constitucional</w:t>
        </w:r>
      </w:hyperlink>
      <w:r w:rsidRPr="00096122">
        <w:rPr>
          <w:rFonts w:ascii="Arial" w:hAnsi="Arial" w:cs="Arial"/>
          <w:i/>
          <w:color w:val="000000" w:themeColor="text1"/>
          <w:sz w:val="32"/>
          <w:szCs w:val="32"/>
        </w:rPr>
        <w:t xml:space="preserve">, (...). É inconcebível, portanto, a hipótese do Tribunal de Contas da União, órgão sem qualquer função jurisdicional, permanecer a exercer controle difuso de constitucionalidade nos julgamentos de seus </w:t>
      </w:r>
      <w:r w:rsidRPr="00096122">
        <w:rPr>
          <w:rFonts w:ascii="Arial" w:hAnsi="Arial" w:cs="Arial"/>
          <w:i/>
          <w:color w:val="000000" w:themeColor="text1"/>
          <w:sz w:val="32"/>
          <w:szCs w:val="32"/>
        </w:rPr>
        <w:lastRenderedPageBreak/>
        <w:t>processos, sob o pretenso argumento de que lhe seja permitido em virtude do conteúdo da </w:t>
      </w:r>
      <w:hyperlink r:id="rId9" w:tgtFrame="_blank" w:history="1">
        <w:r w:rsidRPr="00096122">
          <w:rPr>
            <w:rStyle w:val="Hyperlink"/>
            <w:rFonts w:ascii="Arial" w:hAnsi="Arial" w:cs="Arial"/>
            <w:i/>
            <w:color w:val="000000" w:themeColor="text1"/>
            <w:sz w:val="32"/>
            <w:szCs w:val="32"/>
            <w:u w:val="none"/>
          </w:rPr>
          <w:t>Súmula 347</w:t>
        </w:r>
      </w:hyperlink>
      <w:r w:rsidRPr="00096122">
        <w:rPr>
          <w:rFonts w:ascii="Arial" w:hAnsi="Arial" w:cs="Arial"/>
          <w:i/>
          <w:color w:val="000000" w:themeColor="text1"/>
          <w:sz w:val="32"/>
          <w:szCs w:val="32"/>
        </w:rPr>
        <w:t> do STF, editada em 1963, cuja subsistência, obviamente, ficou comprometida pela promulgação da </w:t>
      </w:r>
      <w:hyperlink r:id="rId10" w:tgtFrame="_blank" w:history="1">
        <w:r w:rsidRPr="00096122">
          <w:rPr>
            <w:rStyle w:val="Hyperlink"/>
            <w:rFonts w:ascii="Arial" w:hAnsi="Arial" w:cs="Arial"/>
            <w:i/>
            <w:color w:val="000000" w:themeColor="text1"/>
            <w:sz w:val="32"/>
            <w:szCs w:val="32"/>
            <w:u w:val="none"/>
          </w:rPr>
          <w:t>Constituição Federal de 1988</w:t>
        </w:r>
      </w:hyperlink>
      <w:r w:rsidRPr="00096122">
        <w:rPr>
          <w:rFonts w:ascii="Arial" w:hAnsi="Arial" w:cs="Arial"/>
          <w:i/>
          <w:color w:val="000000" w:themeColor="text1"/>
          <w:sz w:val="32"/>
          <w:szCs w:val="32"/>
        </w:rPr>
        <w:t>.</w:t>
      </w:r>
      <w:r w:rsidRPr="00096122">
        <w:rPr>
          <w:rFonts w:ascii="Arial" w:hAnsi="Arial" w:cs="Arial"/>
          <w:i/>
          <w:color w:val="000000" w:themeColor="text1"/>
          <w:sz w:val="32"/>
          <w:szCs w:val="32"/>
        </w:rPr>
        <w:br/>
      </w:r>
      <w:r w:rsidRPr="00C06343">
        <w:rPr>
          <w:rFonts w:ascii="Arial" w:hAnsi="Arial" w:cs="Arial"/>
          <w:color w:val="000000" w:themeColor="text1"/>
          <w:sz w:val="32"/>
          <w:szCs w:val="32"/>
        </w:rPr>
        <w:t>[</w:t>
      </w:r>
      <w:hyperlink r:id="rId11" w:tgtFrame="_blank" w:history="1">
        <w:r w:rsidRPr="00C06343">
          <w:rPr>
            <w:rStyle w:val="Hyperlink"/>
            <w:rFonts w:ascii="Arial" w:hAnsi="Arial" w:cs="Arial"/>
            <w:b/>
            <w:bCs/>
            <w:color w:val="000000" w:themeColor="text1"/>
            <w:sz w:val="32"/>
            <w:szCs w:val="32"/>
            <w:u w:val="none"/>
          </w:rPr>
          <w:t>MS 35.410 MC</w:t>
        </w:r>
      </w:hyperlink>
      <w:r w:rsidRPr="00C06343">
        <w:rPr>
          <w:rFonts w:ascii="Arial" w:hAnsi="Arial" w:cs="Arial"/>
          <w:color w:val="000000" w:themeColor="text1"/>
          <w:sz w:val="32"/>
          <w:szCs w:val="32"/>
        </w:rPr>
        <w:t>, rel. min. </w:t>
      </w:r>
      <w:r w:rsidRPr="00C06343">
        <w:rPr>
          <w:rFonts w:ascii="Arial" w:hAnsi="Arial" w:cs="Arial"/>
          <w:b/>
          <w:bCs/>
          <w:color w:val="000000" w:themeColor="text1"/>
          <w:sz w:val="32"/>
          <w:szCs w:val="32"/>
        </w:rPr>
        <w:t>Alexandre de Moraes</w:t>
      </w:r>
      <w:r w:rsidRPr="00C06343">
        <w:rPr>
          <w:rFonts w:ascii="Arial" w:hAnsi="Arial" w:cs="Arial"/>
          <w:color w:val="000000" w:themeColor="text1"/>
          <w:sz w:val="32"/>
          <w:szCs w:val="32"/>
        </w:rPr>
        <w:t>, dec. monocrática, j. 15-12-2017, </w:t>
      </w:r>
      <w:r w:rsidRPr="00C06343">
        <w:rPr>
          <w:rFonts w:ascii="Arial" w:hAnsi="Arial" w:cs="Arial"/>
          <w:i/>
          <w:iCs/>
          <w:color w:val="000000" w:themeColor="text1"/>
          <w:sz w:val="32"/>
          <w:szCs w:val="32"/>
        </w:rPr>
        <w:t>DJE </w:t>
      </w:r>
      <w:r w:rsidRPr="00C06343">
        <w:rPr>
          <w:rFonts w:ascii="Arial" w:hAnsi="Arial" w:cs="Arial"/>
          <w:color w:val="000000" w:themeColor="text1"/>
          <w:sz w:val="32"/>
          <w:szCs w:val="32"/>
        </w:rPr>
        <w:t>18 de 1º-2-2018.]</w:t>
      </w:r>
    </w:p>
    <w:p w14:paraId="41C16DFB" w14:textId="77777777" w:rsidR="00C06343" w:rsidRDefault="00C06343" w:rsidP="00980FB6">
      <w:pPr>
        <w:ind w:firstLine="1134"/>
        <w:jc w:val="both"/>
        <w:rPr>
          <w:rFonts w:ascii="Arial" w:hAnsi="Arial" w:cs="Arial"/>
          <w:sz w:val="32"/>
          <w:szCs w:val="32"/>
        </w:rPr>
      </w:pPr>
    </w:p>
    <w:p w14:paraId="34A518A4" w14:textId="7FD019D6" w:rsidR="00C06343" w:rsidRDefault="009C114B" w:rsidP="00C06343">
      <w:pPr>
        <w:ind w:firstLine="1134"/>
        <w:jc w:val="both"/>
        <w:rPr>
          <w:rFonts w:ascii="Arial" w:hAnsi="Arial" w:cs="Arial"/>
          <w:sz w:val="32"/>
          <w:szCs w:val="32"/>
        </w:rPr>
      </w:pPr>
      <w:r>
        <w:rPr>
          <w:rFonts w:ascii="Arial" w:hAnsi="Arial" w:cs="Arial"/>
          <w:sz w:val="32"/>
          <w:szCs w:val="32"/>
        </w:rPr>
        <w:t>Assim, até</w:t>
      </w:r>
      <w:r w:rsidR="00096122">
        <w:rPr>
          <w:rFonts w:ascii="Arial" w:hAnsi="Arial" w:cs="Arial"/>
          <w:sz w:val="32"/>
          <w:szCs w:val="32"/>
        </w:rPr>
        <w:t xml:space="preserve"> eventual</w:t>
      </w:r>
      <w:r>
        <w:rPr>
          <w:rFonts w:ascii="Arial" w:hAnsi="Arial" w:cs="Arial"/>
          <w:sz w:val="32"/>
          <w:szCs w:val="32"/>
        </w:rPr>
        <w:t xml:space="preserve"> </w:t>
      </w:r>
      <w:r w:rsidR="00C06343" w:rsidRPr="009277F7">
        <w:rPr>
          <w:rFonts w:ascii="Arial" w:hAnsi="Arial" w:cs="Arial"/>
          <w:sz w:val="32"/>
          <w:szCs w:val="32"/>
        </w:rPr>
        <w:t>pronunciamento do Poder Judiciário</w:t>
      </w:r>
      <w:r>
        <w:rPr>
          <w:rFonts w:ascii="Arial" w:hAnsi="Arial" w:cs="Arial"/>
          <w:sz w:val="32"/>
          <w:szCs w:val="32"/>
        </w:rPr>
        <w:t xml:space="preserve"> em sentido contrário, a Lei 17.731/22 está plenamente em vigor</w:t>
      </w:r>
      <w:r w:rsidR="00851F9B">
        <w:rPr>
          <w:rFonts w:ascii="Arial" w:hAnsi="Arial" w:cs="Arial"/>
          <w:sz w:val="32"/>
          <w:szCs w:val="32"/>
        </w:rPr>
        <w:t xml:space="preserve">, </w:t>
      </w:r>
      <w:r>
        <w:rPr>
          <w:rFonts w:ascii="Arial" w:hAnsi="Arial" w:cs="Arial"/>
          <w:sz w:val="32"/>
          <w:szCs w:val="32"/>
        </w:rPr>
        <w:t>não havendo como essa Corte de Contas fugir do exame da pretensão da Administ</w:t>
      </w:r>
      <w:r w:rsidR="00851F9B">
        <w:rPr>
          <w:rFonts w:ascii="Arial" w:hAnsi="Arial" w:cs="Arial"/>
          <w:sz w:val="32"/>
          <w:szCs w:val="32"/>
        </w:rPr>
        <w:t>r</w:t>
      </w:r>
      <w:r>
        <w:rPr>
          <w:rFonts w:ascii="Arial" w:hAnsi="Arial" w:cs="Arial"/>
          <w:sz w:val="32"/>
          <w:szCs w:val="32"/>
        </w:rPr>
        <w:t>ação</w:t>
      </w:r>
      <w:r w:rsidR="00B51D57">
        <w:rPr>
          <w:rFonts w:ascii="Arial" w:hAnsi="Arial" w:cs="Arial"/>
          <w:sz w:val="32"/>
          <w:szCs w:val="32"/>
        </w:rPr>
        <w:t>,</w:t>
      </w:r>
      <w:r>
        <w:rPr>
          <w:rFonts w:ascii="Arial" w:hAnsi="Arial" w:cs="Arial"/>
          <w:sz w:val="32"/>
          <w:szCs w:val="32"/>
        </w:rPr>
        <w:t xml:space="preserve"> à luz da legislação posta. Ademais, na hipótese de reconhecimento pela procedência das ações de controle de constitucionalidade anteriormente mencionadas, </w:t>
      </w:r>
      <w:r w:rsidR="00C06343" w:rsidRPr="009277F7">
        <w:rPr>
          <w:rFonts w:ascii="Arial" w:hAnsi="Arial" w:cs="Arial"/>
          <w:sz w:val="32"/>
          <w:szCs w:val="32"/>
        </w:rPr>
        <w:t xml:space="preserve">têm-se que para </w:t>
      </w:r>
      <w:r w:rsidR="00B51D57">
        <w:rPr>
          <w:rFonts w:ascii="Arial" w:hAnsi="Arial" w:cs="Arial"/>
          <w:sz w:val="32"/>
          <w:szCs w:val="32"/>
        </w:rPr>
        <w:t xml:space="preserve">a </w:t>
      </w:r>
      <w:r w:rsidR="00C06343" w:rsidRPr="009277F7">
        <w:rPr>
          <w:rFonts w:ascii="Arial" w:hAnsi="Arial" w:cs="Arial"/>
          <w:sz w:val="32"/>
          <w:szCs w:val="32"/>
        </w:rPr>
        <w:t>segurança jurídica poderá d</w:t>
      </w:r>
      <w:r w:rsidR="00C06343">
        <w:rPr>
          <w:rFonts w:ascii="Arial" w:hAnsi="Arial" w:cs="Arial"/>
          <w:sz w:val="32"/>
          <w:szCs w:val="32"/>
        </w:rPr>
        <w:t>e</w:t>
      </w:r>
      <w:r w:rsidR="00C06343" w:rsidRPr="009277F7">
        <w:rPr>
          <w:rFonts w:ascii="Arial" w:hAnsi="Arial" w:cs="Arial"/>
          <w:sz w:val="32"/>
          <w:szCs w:val="32"/>
        </w:rPr>
        <w:t>correr também a ponderação quantos aos efeitos da norma até sua declaração de inconstitucionalidade.</w:t>
      </w:r>
    </w:p>
    <w:p w14:paraId="3CAF18FB" w14:textId="2F7CABD3" w:rsidR="001970BE" w:rsidRPr="009277F7" w:rsidRDefault="001970BE" w:rsidP="00C06343">
      <w:pPr>
        <w:ind w:firstLine="1134"/>
        <w:jc w:val="both"/>
        <w:rPr>
          <w:rFonts w:ascii="Arial" w:hAnsi="Arial" w:cs="Arial"/>
          <w:sz w:val="32"/>
          <w:szCs w:val="32"/>
        </w:rPr>
      </w:pPr>
      <w:r>
        <w:rPr>
          <w:rFonts w:ascii="Arial" w:hAnsi="Arial" w:cs="Arial"/>
          <w:sz w:val="32"/>
          <w:szCs w:val="32"/>
        </w:rPr>
        <w:t xml:space="preserve">Já que </w:t>
      </w:r>
      <w:r w:rsidR="00B51D57">
        <w:rPr>
          <w:rFonts w:ascii="Arial" w:hAnsi="Arial" w:cs="Arial"/>
          <w:sz w:val="32"/>
          <w:szCs w:val="32"/>
        </w:rPr>
        <w:t>a</w:t>
      </w:r>
      <w:r>
        <w:rPr>
          <w:rFonts w:ascii="Arial" w:hAnsi="Arial" w:cs="Arial"/>
          <w:sz w:val="32"/>
          <w:szCs w:val="32"/>
        </w:rPr>
        <w:t xml:space="preserve"> </w:t>
      </w:r>
      <w:r w:rsidR="00B51D57">
        <w:rPr>
          <w:rFonts w:ascii="Arial" w:hAnsi="Arial" w:cs="Arial"/>
          <w:sz w:val="32"/>
          <w:szCs w:val="32"/>
        </w:rPr>
        <w:t>A</w:t>
      </w:r>
      <w:r>
        <w:rPr>
          <w:rFonts w:ascii="Arial" w:hAnsi="Arial" w:cs="Arial"/>
          <w:sz w:val="32"/>
          <w:szCs w:val="32"/>
        </w:rPr>
        <w:t>uditoria</w:t>
      </w:r>
      <w:r w:rsidR="00B51D57">
        <w:rPr>
          <w:rFonts w:ascii="Arial" w:hAnsi="Arial" w:cs="Arial"/>
          <w:sz w:val="32"/>
          <w:szCs w:val="32"/>
        </w:rPr>
        <w:t>,</w:t>
      </w:r>
      <w:r>
        <w:rPr>
          <w:rFonts w:ascii="Arial" w:hAnsi="Arial" w:cs="Arial"/>
          <w:sz w:val="32"/>
          <w:szCs w:val="32"/>
        </w:rPr>
        <w:t xml:space="preserve"> concorrendo com a AJCE</w:t>
      </w:r>
      <w:r w:rsidR="00B51D57">
        <w:rPr>
          <w:rFonts w:ascii="Arial" w:hAnsi="Arial" w:cs="Arial"/>
          <w:sz w:val="32"/>
          <w:szCs w:val="32"/>
        </w:rPr>
        <w:t>,</w:t>
      </w:r>
      <w:r>
        <w:rPr>
          <w:rFonts w:ascii="Arial" w:hAnsi="Arial" w:cs="Arial"/>
          <w:sz w:val="32"/>
          <w:szCs w:val="32"/>
        </w:rPr>
        <w:t xml:space="preserve"> opinou sobre os aspectos da legalidade</w:t>
      </w:r>
      <w:r w:rsidR="00B51D57">
        <w:rPr>
          <w:rFonts w:ascii="Arial" w:hAnsi="Arial" w:cs="Arial"/>
          <w:sz w:val="32"/>
          <w:szCs w:val="32"/>
        </w:rPr>
        <w:t>,</w:t>
      </w:r>
      <w:r>
        <w:rPr>
          <w:rFonts w:ascii="Arial" w:hAnsi="Arial" w:cs="Arial"/>
          <w:sz w:val="32"/>
          <w:szCs w:val="32"/>
        </w:rPr>
        <w:t xml:space="preserve"> deveria ater</w:t>
      </w:r>
      <w:r w:rsidR="00B51D57">
        <w:rPr>
          <w:rFonts w:ascii="Arial" w:hAnsi="Arial" w:cs="Arial"/>
          <w:sz w:val="32"/>
          <w:szCs w:val="32"/>
        </w:rPr>
        <w:t>-se</w:t>
      </w:r>
      <w:r>
        <w:rPr>
          <w:rFonts w:ascii="Arial" w:hAnsi="Arial" w:cs="Arial"/>
          <w:sz w:val="32"/>
          <w:szCs w:val="32"/>
        </w:rPr>
        <w:t xml:space="preserve"> a todo o ordenamento jurídico.</w:t>
      </w:r>
    </w:p>
    <w:p w14:paraId="245E2103" w14:textId="3C3741FE" w:rsidR="0008022F" w:rsidRDefault="009C114B" w:rsidP="00980FB6">
      <w:pPr>
        <w:ind w:firstLine="1134"/>
        <w:jc w:val="both"/>
        <w:rPr>
          <w:rFonts w:ascii="Arial" w:hAnsi="Arial" w:cs="Arial"/>
          <w:sz w:val="32"/>
          <w:szCs w:val="32"/>
        </w:rPr>
      </w:pPr>
      <w:r w:rsidRPr="00807DF8">
        <w:rPr>
          <w:rFonts w:ascii="Arial" w:hAnsi="Arial" w:cs="Arial"/>
          <w:sz w:val="32"/>
          <w:szCs w:val="32"/>
        </w:rPr>
        <w:t>Nesse sentido, salta aos olhos que o parecer da Auditoria desta Corte tenha solenemente desconsiderado a existência da citada Lei para elaboração de seu posicionamento. Ainda que de forma indireta tenha analisado os requisitos do art. 19 da Lei 17.731, quando d</w:t>
      </w:r>
      <w:r w:rsidR="003A3716" w:rsidRPr="00807DF8">
        <w:rPr>
          <w:rFonts w:ascii="Arial" w:hAnsi="Arial" w:cs="Arial"/>
          <w:sz w:val="32"/>
          <w:szCs w:val="32"/>
        </w:rPr>
        <w:t>a</w:t>
      </w:r>
      <w:r w:rsidR="00096122" w:rsidRPr="00807DF8">
        <w:rPr>
          <w:rFonts w:ascii="Arial" w:hAnsi="Arial" w:cs="Arial"/>
          <w:sz w:val="32"/>
          <w:szCs w:val="32"/>
        </w:rPr>
        <w:t xml:space="preserve"> a</w:t>
      </w:r>
      <w:r w:rsidR="003A3716" w:rsidRPr="00807DF8">
        <w:rPr>
          <w:rFonts w:ascii="Arial" w:hAnsi="Arial" w:cs="Arial"/>
          <w:sz w:val="32"/>
          <w:szCs w:val="32"/>
        </w:rPr>
        <w:t>nálise</w:t>
      </w:r>
      <w:r w:rsidRPr="00807DF8">
        <w:rPr>
          <w:rFonts w:ascii="Arial" w:hAnsi="Arial" w:cs="Arial"/>
          <w:sz w:val="32"/>
          <w:szCs w:val="32"/>
        </w:rPr>
        <w:t xml:space="preserve"> da economicidade e</w:t>
      </w:r>
      <w:r w:rsidR="003A3716" w:rsidRPr="00807DF8">
        <w:rPr>
          <w:rFonts w:ascii="Arial" w:hAnsi="Arial" w:cs="Arial"/>
          <w:sz w:val="32"/>
          <w:szCs w:val="32"/>
        </w:rPr>
        <w:t xml:space="preserve"> da</w:t>
      </w:r>
      <w:r w:rsidRPr="00807DF8">
        <w:rPr>
          <w:rFonts w:ascii="Arial" w:hAnsi="Arial" w:cs="Arial"/>
          <w:sz w:val="32"/>
          <w:szCs w:val="32"/>
        </w:rPr>
        <w:t xml:space="preserve"> sinergia operacional, a </w:t>
      </w:r>
      <w:r w:rsidR="00BC5CE8">
        <w:rPr>
          <w:rFonts w:ascii="Arial" w:hAnsi="Arial" w:cs="Arial"/>
          <w:sz w:val="32"/>
          <w:szCs w:val="32"/>
        </w:rPr>
        <w:t>E</w:t>
      </w:r>
      <w:r w:rsidRPr="00807DF8">
        <w:rPr>
          <w:rFonts w:ascii="Arial" w:hAnsi="Arial" w:cs="Arial"/>
          <w:sz w:val="32"/>
          <w:szCs w:val="32"/>
        </w:rPr>
        <w:t xml:space="preserve">quipe </w:t>
      </w:r>
      <w:r w:rsidR="00BC5CE8">
        <w:rPr>
          <w:rFonts w:ascii="Arial" w:hAnsi="Arial" w:cs="Arial"/>
          <w:sz w:val="32"/>
          <w:szCs w:val="32"/>
        </w:rPr>
        <w:t>T</w:t>
      </w:r>
      <w:r w:rsidRPr="00807DF8">
        <w:rPr>
          <w:rFonts w:ascii="Arial" w:hAnsi="Arial" w:cs="Arial"/>
          <w:sz w:val="32"/>
          <w:szCs w:val="32"/>
        </w:rPr>
        <w:t>écnica</w:t>
      </w:r>
      <w:r w:rsidR="003A3716" w:rsidRPr="00807DF8">
        <w:rPr>
          <w:rFonts w:ascii="Arial" w:hAnsi="Arial" w:cs="Arial"/>
          <w:sz w:val="32"/>
          <w:szCs w:val="32"/>
        </w:rPr>
        <w:t xml:space="preserve"> deixou de fazer menção às disposições contidas na legislação em referência, o que me parece, com o devido respeito que tenho aos técnicos deste Tribunal</w:t>
      </w:r>
      <w:r w:rsidR="00BC5CE8">
        <w:rPr>
          <w:rFonts w:ascii="Arial" w:hAnsi="Arial" w:cs="Arial"/>
          <w:sz w:val="32"/>
          <w:szCs w:val="32"/>
        </w:rPr>
        <w:t xml:space="preserve">, </w:t>
      </w:r>
      <w:r w:rsidR="003A3716" w:rsidRPr="00807DF8">
        <w:rPr>
          <w:rFonts w:ascii="Arial" w:hAnsi="Arial" w:cs="Arial"/>
          <w:sz w:val="32"/>
          <w:szCs w:val="32"/>
        </w:rPr>
        <w:t>uma impropriedade gr</w:t>
      </w:r>
      <w:r w:rsidRPr="00807DF8">
        <w:rPr>
          <w:rFonts w:ascii="Arial" w:hAnsi="Arial" w:cs="Arial"/>
          <w:sz w:val="32"/>
          <w:szCs w:val="32"/>
        </w:rPr>
        <w:t>a</w:t>
      </w:r>
      <w:r w:rsidR="003A3716" w:rsidRPr="00807DF8">
        <w:rPr>
          <w:rFonts w:ascii="Arial" w:hAnsi="Arial" w:cs="Arial"/>
          <w:sz w:val="32"/>
          <w:szCs w:val="32"/>
        </w:rPr>
        <w:t>ve no trabalho, sempre competente, de nossa Auditoria.</w:t>
      </w:r>
      <w:r>
        <w:rPr>
          <w:rFonts w:ascii="Arial" w:hAnsi="Arial" w:cs="Arial"/>
          <w:sz w:val="32"/>
          <w:szCs w:val="32"/>
        </w:rPr>
        <w:t xml:space="preserve"> </w:t>
      </w:r>
    </w:p>
    <w:p w14:paraId="4A254309" w14:textId="233B45A8" w:rsidR="003A3716" w:rsidRDefault="003A3716" w:rsidP="003A3716">
      <w:pPr>
        <w:ind w:firstLine="1134"/>
        <w:jc w:val="both"/>
        <w:rPr>
          <w:rFonts w:ascii="Arial" w:hAnsi="Arial" w:cs="Arial"/>
          <w:sz w:val="32"/>
          <w:szCs w:val="32"/>
        </w:rPr>
      </w:pPr>
      <w:r>
        <w:rPr>
          <w:rFonts w:ascii="Arial" w:hAnsi="Arial" w:cs="Arial"/>
          <w:sz w:val="32"/>
          <w:szCs w:val="32"/>
        </w:rPr>
        <w:lastRenderedPageBreak/>
        <w:t xml:space="preserve">Pois bem, superada a questão do fundamento legal para a pretensão da </w:t>
      </w:r>
      <w:r w:rsidR="00A50E28">
        <w:rPr>
          <w:rFonts w:ascii="Arial" w:hAnsi="Arial" w:cs="Arial"/>
          <w:sz w:val="32"/>
          <w:szCs w:val="32"/>
        </w:rPr>
        <w:t>A</w:t>
      </w:r>
      <w:r>
        <w:rPr>
          <w:rFonts w:ascii="Arial" w:hAnsi="Arial" w:cs="Arial"/>
          <w:sz w:val="32"/>
          <w:szCs w:val="32"/>
        </w:rPr>
        <w:t xml:space="preserve">dministração, passo a examinar os questionamentos aduzidos pela Auditoria, em especial a suposta ofensa ao </w:t>
      </w:r>
      <w:r w:rsidRPr="003A3716">
        <w:rPr>
          <w:rFonts w:ascii="Arial" w:hAnsi="Arial" w:cs="Arial"/>
          <w:sz w:val="32"/>
          <w:szCs w:val="32"/>
        </w:rPr>
        <w:t>requisito</w:t>
      </w:r>
      <w:r>
        <w:rPr>
          <w:rFonts w:ascii="Arial" w:hAnsi="Arial" w:cs="Arial"/>
          <w:sz w:val="32"/>
          <w:szCs w:val="32"/>
        </w:rPr>
        <w:t xml:space="preserve"> </w:t>
      </w:r>
      <w:r w:rsidRPr="003A3716">
        <w:rPr>
          <w:rFonts w:ascii="Arial" w:hAnsi="Arial" w:cs="Arial"/>
          <w:sz w:val="32"/>
          <w:szCs w:val="32"/>
        </w:rPr>
        <w:t>constitucional e legal da licitação prévia para as concessões públicas</w:t>
      </w:r>
      <w:r w:rsidR="0011289F">
        <w:rPr>
          <w:rFonts w:ascii="Arial" w:hAnsi="Arial" w:cs="Arial"/>
          <w:sz w:val="32"/>
          <w:szCs w:val="32"/>
        </w:rPr>
        <w:t xml:space="preserve"> e a possível </w:t>
      </w:r>
      <w:r w:rsidRPr="003A3716">
        <w:rPr>
          <w:rFonts w:ascii="Arial" w:hAnsi="Arial" w:cs="Arial"/>
          <w:sz w:val="32"/>
          <w:szCs w:val="32"/>
        </w:rPr>
        <w:t>transfiguração do</w:t>
      </w:r>
      <w:r w:rsidR="0011289F">
        <w:rPr>
          <w:rFonts w:ascii="Arial" w:hAnsi="Arial" w:cs="Arial"/>
          <w:sz w:val="32"/>
          <w:szCs w:val="32"/>
        </w:rPr>
        <w:t xml:space="preserve"> </w:t>
      </w:r>
      <w:r w:rsidRPr="003A3716">
        <w:rPr>
          <w:rFonts w:ascii="Arial" w:hAnsi="Arial" w:cs="Arial"/>
          <w:sz w:val="32"/>
          <w:szCs w:val="32"/>
        </w:rPr>
        <w:t>objeto contratual</w:t>
      </w:r>
      <w:r w:rsidR="0011289F">
        <w:rPr>
          <w:rFonts w:ascii="Arial" w:hAnsi="Arial" w:cs="Arial"/>
          <w:sz w:val="32"/>
          <w:szCs w:val="32"/>
        </w:rPr>
        <w:t xml:space="preserve"> decorrente da incorporação dos serviços tratados nestes autos</w:t>
      </w:r>
      <w:r w:rsidRPr="003A3716">
        <w:rPr>
          <w:rFonts w:ascii="Arial" w:hAnsi="Arial" w:cs="Arial"/>
          <w:sz w:val="32"/>
          <w:szCs w:val="32"/>
        </w:rPr>
        <w:t>.</w:t>
      </w:r>
    </w:p>
    <w:p w14:paraId="12898D09" w14:textId="3C00C5B9" w:rsidR="0011289F" w:rsidRDefault="0011289F" w:rsidP="003A3716">
      <w:pPr>
        <w:ind w:firstLine="1134"/>
        <w:jc w:val="both"/>
        <w:rPr>
          <w:rFonts w:ascii="Arial" w:hAnsi="Arial" w:cs="Arial"/>
          <w:sz w:val="32"/>
          <w:szCs w:val="32"/>
        </w:rPr>
      </w:pPr>
      <w:r>
        <w:rPr>
          <w:rFonts w:ascii="Arial" w:hAnsi="Arial" w:cs="Arial"/>
          <w:sz w:val="32"/>
          <w:szCs w:val="32"/>
        </w:rPr>
        <w:t xml:space="preserve">As decisões adotadas concretamente pelo </w:t>
      </w:r>
      <w:r w:rsidR="00A50E28">
        <w:rPr>
          <w:rFonts w:ascii="Arial" w:hAnsi="Arial" w:cs="Arial"/>
          <w:sz w:val="32"/>
          <w:szCs w:val="32"/>
        </w:rPr>
        <w:t>M</w:t>
      </w:r>
      <w:r>
        <w:rPr>
          <w:rFonts w:ascii="Arial" w:hAnsi="Arial" w:cs="Arial"/>
          <w:sz w:val="32"/>
          <w:szCs w:val="32"/>
        </w:rPr>
        <w:t xml:space="preserve">unicípio refletem a realização de </w:t>
      </w:r>
      <w:r w:rsidR="00096122">
        <w:rPr>
          <w:rFonts w:ascii="Arial" w:hAnsi="Arial" w:cs="Arial"/>
          <w:sz w:val="32"/>
          <w:szCs w:val="32"/>
        </w:rPr>
        <w:t>opções</w:t>
      </w:r>
      <w:r>
        <w:rPr>
          <w:rFonts w:ascii="Arial" w:hAnsi="Arial" w:cs="Arial"/>
          <w:sz w:val="32"/>
          <w:szCs w:val="32"/>
        </w:rPr>
        <w:t xml:space="preserve"> políticas, decorrentes das </w:t>
      </w:r>
      <w:r w:rsidR="00A50E28" w:rsidRPr="00B35EB1">
        <w:rPr>
          <w:rFonts w:ascii="Arial" w:hAnsi="Arial" w:cs="Arial"/>
          <w:sz w:val="32"/>
          <w:szCs w:val="32"/>
        </w:rPr>
        <w:t>escolhas</w:t>
      </w:r>
      <w:r>
        <w:rPr>
          <w:rFonts w:ascii="Arial" w:hAnsi="Arial" w:cs="Arial"/>
          <w:sz w:val="32"/>
          <w:szCs w:val="32"/>
        </w:rPr>
        <w:t xml:space="preserve"> dos gestores públicos que traduzem, em última instância, </w:t>
      </w:r>
      <w:r w:rsidR="00A50E28">
        <w:rPr>
          <w:rFonts w:ascii="Arial" w:hAnsi="Arial" w:cs="Arial"/>
          <w:sz w:val="32"/>
          <w:szCs w:val="32"/>
        </w:rPr>
        <w:t>de</w:t>
      </w:r>
      <w:r>
        <w:rPr>
          <w:rFonts w:ascii="Arial" w:hAnsi="Arial" w:cs="Arial"/>
          <w:sz w:val="32"/>
          <w:szCs w:val="32"/>
        </w:rPr>
        <w:t xml:space="preserve"> modo prático</w:t>
      </w:r>
      <w:r w:rsidR="00A50E28">
        <w:rPr>
          <w:rFonts w:ascii="Arial" w:hAnsi="Arial" w:cs="Arial"/>
          <w:sz w:val="32"/>
          <w:szCs w:val="32"/>
        </w:rPr>
        <w:t>,</w:t>
      </w:r>
      <w:r>
        <w:rPr>
          <w:rFonts w:ascii="Arial" w:hAnsi="Arial" w:cs="Arial"/>
          <w:sz w:val="32"/>
          <w:szCs w:val="32"/>
        </w:rPr>
        <w:t xml:space="preserve"> a forma mais adequada de se atingir o resultado pretendido pelo interesse público.</w:t>
      </w:r>
    </w:p>
    <w:p w14:paraId="41F440CD" w14:textId="6A5CD569" w:rsidR="000123E0" w:rsidRDefault="0011289F" w:rsidP="003A3716">
      <w:pPr>
        <w:ind w:firstLine="1134"/>
        <w:jc w:val="both"/>
        <w:rPr>
          <w:rFonts w:ascii="Arial" w:hAnsi="Arial" w:cs="Arial"/>
          <w:sz w:val="32"/>
          <w:szCs w:val="32"/>
        </w:rPr>
      </w:pPr>
      <w:r>
        <w:rPr>
          <w:rFonts w:ascii="Arial" w:hAnsi="Arial" w:cs="Arial"/>
          <w:sz w:val="32"/>
          <w:szCs w:val="32"/>
        </w:rPr>
        <w:t xml:space="preserve">Assim, ao se escolher por meio de eleições aqueles que irão titularizar por um </w:t>
      </w:r>
      <w:r w:rsidR="00A50E28">
        <w:rPr>
          <w:rFonts w:ascii="Arial" w:hAnsi="Arial" w:cs="Arial"/>
          <w:sz w:val="32"/>
          <w:szCs w:val="32"/>
        </w:rPr>
        <w:t>período</w:t>
      </w:r>
      <w:r w:rsidR="00322DF9">
        <w:rPr>
          <w:rFonts w:ascii="Arial" w:hAnsi="Arial" w:cs="Arial"/>
          <w:sz w:val="32"/>
          <w:szCs w:val="32"/>
        </w:rPr>
        <w:t xml:space="preserve"> a chefia da </w:t>
      </w:r>
      <w:r w:rsidR="00A50E28">
        <w:rPr>
          <w:rFonts w:ascii="Arial" w:hAnsi="Arial" w:cs="Arial"/>
          <w:sz w:val="32"/>
          <w:szCs w:val="32"/>
        </w:rPr>
        <w:t>A</w:t>
      </w:r>
      <w:r w:rsidR="00322DF9">
        <w:rPr>
          <w:rFonts w:ascii="Arial" w:hAnsi="Arial" w:cs="Arial"/>
          <w:sz w:val="32"/>
          <w:szCs w:val="32"/>
        </w:rPr>
        <w:t xml:space="preserve">dministração </w:t>
      </w:r>
      <w:r w:rsidR="00A50E28">
        <w:rPr>
          <w:rFonts w:ascii="Arial" w:hAnsi="Arial" w:cs="Arial"/>
          <w:sz w:val="32"/>
          <w:szCs w:val="32"/>
        </w:rPr>
        <w:t>P</w:t>
      </w:r>
      <w:r w:rsidR="00322DF9">
        <w:rPr>
          <w:rFonts w:ascii="Arial" w:hAnsi="Arial" w:cs="Arial"/>
          <w:sz w:val="32"/>
          <w:szCs w:val="32"/>
        </w:rPr>
        <w:t xml:space="preserve">ública, está se </w:t>
      </w:r>
      <w:r w:rsidR="00A50E28" w:rsidRPr="00B35EB1">
        <w:rPr>
          <w:rFonts w:ascii="Arial" w:hAnsi="Arial" w:cs="Arial"/>
          <w:sz w:val="32"/>
          <w:szCs w:val="32"/>
        </w:rPr>
        <w:t>optando</w:t>
      </w:r>
      <w:r w:rsidR="00A50E28">
        <w:rPr>
          <w:rFonts w:ascii="Arial" w:hAnsi="Arial" w:cs="Arial"/>
          <w:sz w:val="32"/>
          <w:szCs w:val="32"/>
        </w:rPr>
        <w:t xml:space="preserve"> por</w:t>
      </w:r>
      <w:r w:rsidR="00322DF9">
        <w:rPr>
          <w:rFonts w:ascii="Arial" w:hAnsi="Arial" w:cs="Arial"/>
          <w:sz w:val="32"/>
          <w:szCs w:val="32"/>
        </w:rPr>
        <w:t xml:space="preserve"> um</w:t>
      </w:r>
      <w:r w:rsidR="000123E0">
        <w:rPr>
          <w:rFonts w:ascii="Arial" w:hAnsi="Arial" w:cs="Arial"/>
          <w:sz w:val="32"/>
          <w:szCs w:val="32"/>
        </w:rPr>
        <w:t>a determinada diretriz</w:t>
      </w:r>
      <w:r w:rsidR="00322DF9">
        <w:rPr>
          <w:rFonts w:ascii="Arial" w:hAnsi="Arial" w:cs="Arial"/>
          <w:sz w:val="32"/>
          <w:szCs w:val="32"/>
        </w:rPr>
        <w:t xml:space="preserve"> político-</w:t>
      </w:r>
      <w:r w:rsidR="00096122">
        <w:rPr>
          <w:rFonts w:ascii="Arial" w:hAnsi="Arial" w:cs="Arial"/>
          <w:sz w:val="32"/>
          <w:szCs w:val="32"/>
        </w:rPr>
        <w:t>programática</w:t>
      </w:r>
      <w:r w:rsidR="00322DF9">
        <w:rPr>
          <w:rFonts w:ascii="Arial" w:hAnsi="Arial" w:cs="Arial"/>
          <w:sz w:val="32"/>
          <w:szCs w:val="32"/>
        </w:rPr>
        <w:t xml:space="preserve">, </w:t>
      </w:r>
      <w:r w:rsidR="00096122">
        <w:rPr>
          <w:rFonts w:ascii="Arial" w:hAnsi="Arial" w:cs="Arial"/>
          <w:sz w:val="32"/>
          <w:szCs w:val="32"/>
        </w:rPr>
        <w:t>cuja escolha das políticas públicas a serem implementadas não cabe ao Controle Externo invadir a esfera de competência do gestor público escolhido democraticamente</w:t>
      </w:r>
      <w:r w:rsidR="000123E0">
        <w:rPr>
          <w:rFonts w:ascii="Arial" w:hAnsi="Arial" w:cs="Arial"/>
          <w:sz w:val="32"/>
          <w:szCs w:val="32"/>
        </w:rPr>
        <w:t>.</w:t>
      </w:r>
    </w:p>
    <w:p w14:paraId="5266CA98" w14:textId="77777777" w:rsidR="000123E0" w:rsidRDefault="000123E0" w:rsidP="00253045">
      <w:pPr>
        <w:ind w:firstLine="1134"/>
        <w:jc w:val="both"/>
        <w:rPr>
          <w:rFonts w:ascii="Arial" w:hAnsi="Arial" w:cs="Arial"/>
          <w:sz w:val="32"/>
          <w:szCs w:val="32"/>
        </w:rPr>
      </w:pPr>
      <w:r>
        <w:rPr>
          <w:rFonts w:ascii="Arial" w:hAnsi="Arial" w:cs="Arial"/>
          <w:sz w:val="32"/>
          <w:szCs w:val="32"/>
        </w:rPr>
        <w:t xml:space="preserve">A Constituição Federal estabelece </w:t>
      </w:r>
      <w:r w:rsidR="008669F8">
        <w:rPr>
          <w:rFonts w:ascii="Arial" w:hAnsi="Arial" w:cs="Arial"/>
          <w:sz w:val="32"/>
          <w:szCs w:val="32"/>
        </w:rPr>
        <w:t xml:space="preserve">que </w:t>
      </w:r>
      <w:r>
        <w:rPr>
          <w:rFonts w:ascii="Arial" w:hAnsi="Arial" w:cs="Arial"/>
          <w:sz w:val="32"/>
          <w:szCs w:val="32"/>
        </w:rPr>
        <w:t>o</w:t>
      </w:r>
      <w:r w:rsidRPr="000123E0">
        <w:rPr>
          <w:rFonts w:ascii="Arial" w:hAnsi="Arial" w:cs="Arial"/>
          <w:sz w:val="32"/>
          <w:szCs w:val="32"/>
        </w:rPr>
        <w:t>s aspectos essenciais quanto à instituição e organização estrutural</w:t>
      </w:r>
      <w:r>
        <w:rPr>
          <w:rFonts w:ascii="Arial" w:hAnsi="Arial" w:cs="Arial"/>
          <w:sz w:val="32"/>
          <w:szCs w:val="32"/>
        </w:rPr>
        <w:t xml:space="preserve"> </w:t>
      </w:r>
      <w:r w:rsidRPr="000123E0">
        <w:rPr>
          <w:rFonts w:ascii="Arial" w:hAnsi="Arial" w:cs="Arial"/>
          <w:sz w:val="32"/>
          <w:szCs w:val="32"/>
        </w:rPr>
        <w:t>dos serviços públicos devem ser disciplinados por lei local. O Poder Legislativo</w:t>
      </w:r>
      <w:r>
        <w:rPr>
          <w:rFonts w:ascii="Arial" w:hAnsi="Arial" w:cs="Arial"/>
          <w:sz w:val="32"/>
          <w:szCs w:val="32"/>
        </w:rPr>
        <w:t xml:space="preserve"> </w:t>
      </w:r>
      <w:r w:rsidRPr="000123E0">
        <w:rPr>
          <w:rFonts w:ascii="Arial" w:hAnsi="Arial" w:cs="Arial"/>
          <w:sz w:val="32"/>
          <w:szCs w:val="32"/>
        </w:rPr>
        <w:t>do ente federado titular do serviço é investido de competência privativa quanto</w:t>
      </w:r>
      <w:r w:rsidR="00253045">
        <w:rPr>
          <w:rFonts w:ascii="Arial" w:hAnsi="Arial" w:cs="Arial"/>
          <w:sz w:val="32"/>
          <w:szCs w:val="32"/>
        </w:rPr>
        <w:t xml:space="preserve"> a tais temas, cabendo-lhe, inclusive, autorizar a delegação do serviço</w:t>
      </w:r>
      <w:r w:rsidR="000A0188">
        <w:rPr>
          <w:rFonts w:ascii="Arial" w:hAnsi="Arial" w:cs="Arial"/>
          <w:sz w:val="32"/>
          <w:szCs w:val="32"/>
        </w:rPr>
        <w:t>.</w:t>
      </w:r>
    </w:p>
    <w:p w14:paraId="4C77060E" w14:textId="77777777" w:rsidR="006437F0" w:rsidRDefault="006437F0" w:rsidP="00253045">
      <w:pPr>
        <w:ind w:firstLine="1134"/>
        <w:jc w:val="both"/>
        <w:rPr>
          <w:rFonts w:ascii="Arial" w:hAnsi="Arial" w:cs="Arial"/>
          <w:sz w:val="32"/>
          <w:szCs w:val="32"/>
        </w:rPr>
      </w:pPr>
      <w:r>
        <w:rPr>
          <w:rFonts w:ascii="Arial" w:hAnsi="Arial" w:cs="Arial"/>
          <w:sz w:val="32"/>
          <w:szCs w:val="32"/>
        </w:rPr>
        <w:t>Em decorrência</w:t>
      </w:r>
      <w:r w:rsidRPr="006437F0">
        <w:rPr>
          <w:rFonts w:ascii="Arial" w:hAnsi="Arial" w:cs="Arial"/>
          <w:sz w:val="32"/>
          <w:szCs w:val="32"/>
        </w:rPr>
        <w:t xml:space="preserve"> dessa autonomia é que a União </w:t>
      </w:r>
      <w:r w:rsidR="00896C00">
        <w:rPr>
          <w:rFonts w:ascii="Arial" w:hAnsi="Arial" w:cs="Arial"/>
          <w:sz w:val="32"/>
          <w:szCs w:val="32"/>
        </w:rPr>
        <w:t>promulgou</w:t>
      </w:r>
      <w:r w:rsidRPr="006437F0">
        <w:rPr>
          <w:rFonts w:ascii="Arial" w:hAnsi="Arial" w:cs="Arial"/>
          <w:sz w:val="32"/>
          <w:szCs w:val="32"/>
        </w:rPr>
        <w:t xml:space="preserve"> a Lei 13.448/2017 (aplicável especificamente aos setores rodoviário, ferroviário e aeroportuário) e o Estado de São Paulo editou a Lei 16.933/2019 (com aplicabilidade ampla)</w:t>
      </w:r>
      <w:r>
        <w:rPr>
          <w:rFonts w:ascii="Arial" w:hAnsi="Arial" w:cs="Arial"/>
          <w:sz w:val="32"/>
          <w:szCs w:val="32"/>
        </w:rPr>
        <w:t xml:space="preserve"> e</w:t>
      </w:r>
      <w:r w:rsidRPr="006437F0">
        <w:rPr>
          <w:rFonts w:ascii="Arial" w:hAnsi="Arial" w:cs="Arial"/>
          <w:sz w:val="32"/>
          <w:szCs w:val="32"/>
        </w:rPr>
        <w:t xml:space="preserve"> o Município de São Paulo </w:t>
      </w:r>
      <w:r w:rsidR="00896C00">
        <w:rPr>
          <w:rFonts w:ascii="Arial" w:hAnsi="Arial" w:cs="Arial"/>
          <w:sz w:val="32"/>
          <w:szCs w:val="32"/>
        </w:rPr>
        <w:t>expediu</w:t>
      </w:r>
      <w:r w:rsidRPr="006437F0">
        <w:rPr>
          <w:rFonts w:ascii="Arial" w:hAnsi="Arial" w:cs="Arial"/>
          <w:sz w:val="32"/>
          <w:szCs w:val="32"/>
        </w:rPr>
        <w:t xml:space="preserve"> da Lei 17.731/2022.</w:t>
      </w:r>
    </w:p>
    <w:p w14:paraId="0D3022F4" w14:textId="38C71427" w:rsidR="00803CF4" w:rsidRDefault="000A0188" w:rsidP="000A0188">
      <w:pPr>
        <w:ind w:firstLine="1134"/>
        <w:jc w:val="both"/>
        <w:rPr>
          <w:rFonts w:ascii="Arial" w:hAnsi="Arial" w:cs="Arial"/>
          <w:sz w:val="32"/>
          <w:szCs w:val="32"/>
        </w:rPr>
      </w:pPr>
      <w:r>
        <w:rPr>
          <w:rFonts w:ascii="Arial" w:hAnsi="Arial" w:cs="Arial"/>
          <w:sz w:val="32"/>
          <w:szCs w:val="32"/>
        </w:rPr>
        <w:lastRenderedPageBreak/>
        <w:t xml:space="preserve">Entretanto, </w:t>
      </w:r>
      <w:r w:rsidR="00896C00">
        <w:rPr>
          <w:rFonts w:ascii="Arial" w:hAnsi="Arial" w:cs="Arial"/>
          <w:sz w:val="32"/>
          <w:szCs w:val="32"/>
        </w:rPr>
        <w:t xml:space="preserve">dentro dos parâmetros estabelecidos pela ordem jurídica, </w:t>
      </w:r>
      <w:r>
        <w:rPr>
          <w:rFonts w:ascii="Arial" w:hAnsi="Arial" w:cs="Arial"/>
          <w:sz w:val="32"/>
          <w:szCs w:val="32"/>
        </w:rPr>
        <w:t>cabe ao chefe do Poder Executivo fazer as</w:t>
      </w:r>
      <w:r w:rsidR="00896C00">
        <w:rPr>
          <w:rFonts w:ascii="Arial" w:hAnsi="Arial" w:cs="Arial"/>
          <w:sz w:val="32"/>
          <w:szCs w:val="32"/>
        </w:rPr>
        <w:t xml:space="preserve"> melhores</w:t>
      </w:r>
      <w:r>
        <w:rPr>
          <w:rFonts w:ascii="Arial" w:hAnsi="Arial" w:cs="Arial"/>
          <w:sz w:val="32"/>
          <w:szCs w:val="32"/>
        </w:rPr>
        <w:t xml:space="preserve"> escolhas </w:t>
      </w:r>
      <w:r w:rsidR="00896C00">
        <w:rPr>
          <w:rFonts w:ascii="Arial" w:hAnsi="Arial" w:cs="Arial"/>
          <w:sz w:val="32"/>
          <w:szCs w:val="32"/>
        </w:rPr>
        <w:t>no tocante aos</w:t>
      </w:r>
      <w:r>
        <w:rPr>
          <w:rFonts w:ascii="Arial" w:hAnsi="Arial" w:cs="Arial"/>
          <w:sz w:val="32"/>
          <w:szCs w:val="32"/>
        </w:rPr>
        <w:t xml:space="preserve"> aspectos </w:t>
      </w:r>
      <w:r w:rsidRPr="000A0188">
        <w:rPr>
          <w:rFonts w:ascii="Arial" w:hAnsi="Arial" w:cs="Arial"/>
          <w:sz w:val="32"/>
          <w:szCs w:val="32"/>
        </w:rPr>
        <w:t>técnic</w:t>
      </w:r>
      <w:r w:rsidR="00896C00">
        <w:rPr>
          <w:rFonts w:ascii="Arial" w:hAnsi="Arial" w:cs="Arial"/>
          <w:sz w:val="32"/>
          <w:szCs w:val="32"/>
        </w:rPr>
        <w:t>os</w:t>
      </w:r>
      <w:r w:rsidRPr="000A0188">
        <w:rPr>
          <w:rFonts w:ascii="Arial" w:hAnsi="Arial" w:cs="Arial"/>
          <w:sz w:val="32"/>
          <w:szCs w:val="32"/>
        </w:rPr>
        <w:t xml:space="preserve"> do serviço, às condições</w:t>
      </w:r>
      <w:r>
        <w:rPr>
          <w:rFonts w:ascii="Arial" w:hAnsi="Arial" w:cs="Arial"/>
          <w:sz w:val="32"/>
          <w:szCs w:val="32"/>
        </w:rPr>
        <w:t xml:space="preserve"> </w:t>
      </w:r>
      <w:r w:rsidRPr="000A0188">
        <w:rPr>
          <w:rFonts w:ascii="Arial" w:hAnsi="Arial" w:cs="Arial"/>
          <w:sz w:val="32"/>
          <w:szCs w:val="32"/>
        </w:rPr>
        <w:t>da contratação propriamente dita, ao exercício do controle de qualidade</w:t>
      </w:r>
      <w:r w:rsidR="00896C00">
        <w:rPr>
          <w:rFonts w:ascii="Arial" w:hAnsi="Arial" w:cs="Arial"/>
          <w:sz w:val="32"/>
          <w:szCs w:val="32"/>
        </w:rPr>
        <w:t xml:space="preserve"> dos serviços prestados</w:t>
      </w:r>
      <w:r w:rsidRPr="000A0188">
        <w:rPr>
          <w:rFonts w:ascii="Arial" w:hAnsi="Arial" w:cs="Arial"/>
          <w:sz w:val="32"/>
          <w:szCs w:val="32"/>
        </w:rPr>
        <w:t xml:space="preserve"> e</w:t>
      </w:r>
      <w:r>
        <w:rPr>
          <w:rFonts w:ascii="Arial" w:hAnsi="Arial" w:cs="Arial"/>
          <w:sz w:val="32"/>
          <w:szCs w:val="32"/>
        </w:rPr>
        <w:t xml:space="preserve"> à </w:t>
      </w:r>
      <w:r w:rsidR="006437F0">
        <w:rPr>
          <w:rFonts w:ascii="Arial" w:hAnsi="Arial" w:cs="Arial"/>
          <w:sz w:val="32"/>
          <w:szCs w:val="32"/>
        </w:rPr>
        <w:t>preservação do equilíbrio econ</w:t>
      </w:r>
      <w:r w:rsidR="00803CF4">
        <w:rPr>
          <w:rFonts w:ascii="Arial" w:hAnsi="Arial" w:cs="Arial"/>
          <w:sz w:val="32"/>
          <w:szCs w:val="32"/>
        </w:rPr>
        <w:t>ômic</w:t>
      </w:r>
      <w:r w:rsidR="006437F0">
        <w:rPr>
          <w:rFonts w:ascii="Arial" w:hAnsi="Arial" w:cs="Arial"/>
          <w:sz w:val="32"/>
          <w:szCs w:val="32"/>
        </w:rPr>
        <w:t>o-financeiro.</w:t>
      </w:r>
      <w:r w:rsidR="000123E0">
        <w:rPr>
          <w:rFonts w:ascii="Arial" w:hAnsi="Arial" w:cs="Arial"/>
          <w:sz w:val="32"/>
          <w:szCs w:val="32"/>
        </w:rPr>
        <w:tab/>
      </w:r>
    </w:p>
    <w:p w14:paraId="0AB99248" w14:textId="5E2ED81E" w:rsidR="00651096" w:rsidRDefault="00651096" w:rsidP="000A0188">
      <w:pPr>
        <w:ind w:firstLine="1134"/>
        <w:jc w:val="both"/>
        <w:rPr>
          <w:rFonts w:ascii="Arial" w:hAnsi="Arial" w:cs="Arial"/>
          <w:sz w:val="32"/>
          <w:szCs w:val="32"/>
        </w:rPr>
      </w:pPr>
      <w:r>
        <w:rPr>
          <w:rFonts w:ascii="Arial" w:hAnsi="Arial" w:cs="Arial"/>
          <w:sz w:val="32"/>
          <w:szCs w:val="32"/>
        </w:rPr>
        <w:t xml:space="preserve">No caso do parque semafórico </w:t>
      </w:r>
      <w:r w:rsidR="001E4BAD">
        <w:rPr>
          <w:rFonts w:ascii="Arial" w:hAnsi="Arial" w:cs="Arial"/>
          <w:sz w:val="32"/>
          <w:szCs w:val="32"/>
        </w:rPr>
        <w:t>d</w:t>
      </w:r>
      <w:r>
        <w:rPr>
          <w:rFonts w:ascii="Arial" w:hAnsi="Arial" w:cs="Arial"/>
          <w:sz w:val="32"/>
          <w:szCs w:val="32"/>
        </w:rPr>
        <w:t>a cidade</w:t>
      </w:r>
      <w:r w:rsidR="00803CF4">
        <w:rPr>
          <w:rFonts w:ascii="Arial" w:hAnsi="Arial" w:cs="Arial"/>
          <w:sz w:val="32"/>
          <w:szCs w:val="32"/>
        </w:rPr>
        <w:t xml:space="preserve">, </w:t>
      </w:r>
      <w:r>
        <w:rPr>
          <w:rFonts w:ascii="Arial" w:hAnsi="Arial" w:cs="Arial"/>
          <w:sz w:val="32"/>
          <w:szCs w:val="32"/>
        </w:rPr>
        <w:t>a Administração</w:t>
      </w:r>
      <w:r w:rsidR="00641A18">
        <w:rPr>
          <w:rFonts w:ascii="Arial" w:hAnsi="Arial" w:cs="Arial"/>
          <w:sz w:val="32"/>
          <w:szCs w:val="32"/>
        </w:rPr>
        <w:t xml:space="preserve">, </w:t>
      </w:r>
      <w:r>
        <w:rPr>
          <w:rFonts w:ascii="Arial" w:hAnsi="Arial" w:cs="Arial"/>
          <w:sz w:val="32"/>
          <w:szCs w:val="32"/>
        </w:rPr>
        <w:t>diante d</w:t>
      </w:r>
      <w:r w:rsidR="00896C00">
        <w:rPr>
          <w:rFonts w:ascii="Arial" w:hAnsi="Arial" w:cs="Arial"/>
          <w:sz w:val="32"/>
          <w:szCs w:val="32"/>
        </w:rPr>
        <w:t xml:space="preserve">as diversas opções apresentadas, </w:t>
      </w:r>
      <w:r w:rsidR="00092A60">
        <w:rPr>
          <w:rFonts w:ascii="Arial" w:hAnsi="Arial" w:cs="Arial"/>
          <w:sz w:val="32"/>
          <w:szCs w:val="32"/>
        </w:rPr>
        <w:t xml:space="preserve">escolheu </w:t>
      </w:r>
      <w:r w:rsidR="00896C00">
        <w:rPr>
          <w:rFonts w:ascii="Arial" w:hAnsi="Arial" w:cs="Arial"/>
          <w:sz w:val="32"/>
          <w:szCs w:val="32"/>
        </w:rPr>
        <w:t>o caminho da incorporação dos serviços semafóricos à PPP da Iluminação Pública</w:t>
      </w:r>
      <w:r>
        <w:rPr>
          <w:rFonts w:ascii="Arial" w:hAnsi="Arial" w:cs="Arial"/>
          <w:sz w:val="32"/>
          <w:szCs w:val="32"/>
        </w:rPr>
        <w:t>s.</w:t>
      </w:r>
      <w:r w:rsidR="00896C00">
        <w:rPr>
          <w:rFonts w:ascii="Arial" w:hAnsi="Arial" w:cs="Arial"/>
          <w:sz w:val="32"/>
          <w:szCs w:val="32"/>
        </w:rPr>
        <w:t xml:space="preserve"> </w:t>
      </w:r>
    </w:p>
    <w:p w14:paraId="0C2D8B02" w14:textId="48F5554F" w:rsidR="00651096" w:rsidRDefault="00651096" w:rsidP="000A0188">
      <w:pPr>
        <w:ind w:firstLine="1134"/>
        <w:jc w:val="both"/>
        <w:rPr>
          <w:rFonts w:ascii="Arial" w:hAnsi="Arial" w:cs="Arial"/>
          <w:sz w:val="32"/>
          <w:szCs w:val="32"/>
        </w:rPr>
      </w:pPr>
      <w:r>
        <w:rPr>
          <w:rFonts w:ascii="Arial" w:hAnsi="Arial" w:cs="Arial"/>
          <w:sz w:val="32"/>
          <w:szCs w:val="32"/>
        </w:rPr>
        <w:t>O parecer da Co</w:t>
      </w:r>
      <w:r w:rsidR="00641A18">
        <w:rPr>
          <w:rFonts w:ascii="Arial" w:hAnsi="Arial" w:cs="Arial"/>
          <w:sz w:val="32"/>
          <w:szCs w:val="32"/>
        </w:rPr>
        <w:t>or</w:t>
      </w:r>
      <w:r>
        <w:rPr>
          <w:rFonts w:ascii="Arial" w:hAnsi="Arial" w:cs="Arial"/>
          <w:sz w:val="32"/>
          <w:szCs w:val="32"/>
        </w:rPr>
        <w:t>denadoria Geral do Consultivo da Proc</w:t>
      </w:r>
      <w:r w:rsidRPr="00645A14">
        <w:rPr>
          <w:rFonts w:ascii="Arial" w:hAnsi="Arial" w:cs="Arial"/>
          <w:sz w:val="32"/>
          <w:szCs w:val="32"/>
        </w:rPr>
        <w:t>uradoria do Município</w:t>
      </w:r>
      <w:r w:rsidR="00372019" w:rsidRPr="00645A14">
        <w:rPr>
          <w:rFonts w:ascii="Arial" w:hAnsi="Arial" w:cs="Arial"/>
          <w:sz w:val="32"/>
          <w:szCs w:val="32"/>
        </w:rPr>
        <w:t xml:space="preserve">, </w:t>
      </w:r>
      <w:r w:rsidRPr="00645A14">
        <w:rPr>
          <w:rFonts w:ascii="Arial" w:hAnsi="Arial" w:cs="Arial"/>
          <w:sz w:val="32"/>
          <w:szCs w:val="32"/>
        </w:rPr>
        <w:t>que consta do doc.</w:t>
      </w:r>
      <w:r w:rsidR="00B01428" w:rsidRPr="00645A14">
        <w:rPr>
          <w:rFonts w:ascii="Arial" w:hAnsi="Arial" w:cs="Arial"/>
          <w:sz w:val="32"/>
          <w:szCs w:val="32"/>
        </w:rPr>
        <w:t xml:space="preserve"> 111, fls. 09</w:t>
      </w:r>
      <w:r w:rsidR="00645A14" w:rsidRPr="00645A14">
        <w:rPr>
          <w:rFonts w:ascii="Arial" w:hAnsi="Arial" w:cs="Arial"/>
          <w:sz w:val="32"/>
          <w:szCs w:val="32"/>
        </w:rPr>
        <w:t xml:space="preserve"> a 19</w:t>
      </w:r>
      <w:r w:rsidRPr="00645A14">
        <w:rPr>
          <w:rFonts w:ascii="Arial" w:hAnsi="Arial" w:cs="Arial"/>
          <w:sz w:val="32"/>
          <w:szCs w:val="32"/>
        </w:rPr>
        <w:t>,</w:t>
      </w:r>
      <w:r w:rsidRPr="00641A18">
        <w:rPr>
          <w:rFonts w:ascii="Arial" w:hAnsi="Arial" w:cs="Arial"/>
          <w:color w:val="FF0000"/>
          <w:sz w:val="32"/>
          <w:szCs w:val="32"/>
        </w:rPr>
        <w:t xml:space="preserve"> </w:t>
      </w:r>
      <w:r>
        <w:rPr>
          <w:rFonts w:ascii="Arial" w:hAnsi="Arial" w:cs="Arial"/>
          <w:sz w:val="32"/>
          <w:szCs w:val="32"/>
        </w:rPr>
        <w:t>reflete bem essas escolhas</w:t>
      </w:r>
      <w:r w:rsidR="00372019">
        <w:rPr>
          <w:rFonts w:ascii="Arial" w:hAnsi="Arial" w:cs="Arial"/>
          <w:sz w:val="32"/>
          <w:szCs w:val="32"/>
        </w:rPr>
        <w:t>,</w:t>
      </w:r>
      <w:r>
        <w:rPr>
          <w:rFonts w:ascii="Arial" w:hAnsi="Arial" w:cs="Arial"/>
          <w:sz w:val="32"/>
          <w:szCs w:val="32"/>
        </w:rPr>
        <w:t xml:space="preserve"> aduzindo as seguintes ponderações:</w:t>
      </w:r>
    </w:p>
    <w:p w14:paraId="4A3A7DB4" w14:textId="77777777" w:rsidR="00651096" w:rsidRPr="00AE6504" w:rsidRDefault="00651096" w:rsidP="00AE6504">
      <w:pPr>
        <w:ind w:left="1134"/>
        <w:jc w:val="both"/>
        <w:rPr>
          <w:rFonts w:ascii="Arial" w:hAnsi="Arial" w:cs="Arial"/>
          <w:i/>
          <w:sz w:val="32"/>
          <w:szCs w:val="32"/>
        </w:rPr>
      </w:pPr>
      <w:r w:rsidRPr="00AE6504">
        <w:rPr>
          <w:rFonts w:ascii="Arial" w:hAnsi="Arial" w:cs="Arial"/>
          <w:i/>
          <w:sz w:val="32"/>
          <w:szCs w:val="32"/>
        </w:rPr>
        <w:t>De um lado, o tradicional regramento da (ainda em vigor) Lei 8.666/1993. A propósito, o contexto ora em voga envolvendo o parque semafórico da cidade de São Paulo resume-se a contratos de prestação de serviços, nos moldes do diploma de 1993. No segundo semestre de 2017 foram firmados três contratos de manutenção corretiva semafórica, posteriormente prorrogados. No entanto, tal modelo contratual mostrou-se insuficiente, porquanto baseada na mera contraprestação de serviços, com assento no pagamento de itens unitários executados.</w:t>
      </w:r>
    </w:p>
    <w:p w14:paraId="40F54226" w14:textId="77777777" w:rsidR="00651096" w:rsidRPr="00AE6504" w:rsidRDefault="00651096" w:rsidP="00AE6504">
      <w:pPr>
        <w:ind w:left="1134"/>
        <w:jc w:val="both"/>
        <w:rPr>
          <w:rFonts w:ascii="Arial" w:hAnsi="Arial" w:cs="Arial"/>
          <w:i/>
          <w:sz w:val="32"/>
          <w:szCs w:val="32"/>
        </w:rPr>
      </w:pPr>
      <w:r w:rsidRPr="00AE6504">
        <w:rPr>
          <w:rFonts w:ascii="Arial" w:hAnsi="Arial" w:cs="Arial"/>
          <w:i/>
          <w:sz w:val="32"/>
          <w:szCs w:val="32"/>
        </w:rPr>
        <w:t>De outro lado, o modelo das parceiras público-privadas (PPP), que abarca categorias específicas de contrato de concessão - modalidade patrocinada e administrativa. O regime geral da concessão pública (Lei 8.987/1995) aplica-se a esse modelo contratual, ressalvando-se as especificidades disciplinadas pela Lei 11.079/2004 (Lei das PPPs).</w:t>
      </w:r>
    </w:p>
    <w:p w14:paraId="1BF78AE4" w14:textId="77777777" w:rsidR="00AE6504" w:rsidRDefault="00AE6504" w:rsidP="00AE6504">
      <w:pPr>
        <w:ind w:left="1134"/>
        <w:jc w:val="both"/>
        <w:rPr>
          <w:rFonts w:ascii="Arial" w:hAnsi="Arial" w:cs="Arial"/>
          <w:sz w:val="32"/>
          <w:szCs w:val="32"/>
        </w:rPr>
      </w:pPr>
    </w:p>
    <w:p w14:paraId="02981391" w14:textId="77777777" w:rsidR="00AE6504" w:rsidRPr="00AE6504" w:rsidRDefault="00AE6504" w:rsidP="00AE6504">
      <w:pPr>
        <w:ind w:left="1134"/>
        <w:jc w:val="both"/>
        <w:rPr>
          <w:rFonts w:ascii="Arial" w:hAnsi="Arial" w:cs="Arial"/>
          <w:sz w:val="32"/>
          <w:szCs w:val="32"/>
        </w:rPr>
      </w:pPr>
      <w:r w:rsidRPr="00AE6504">
        <w:rPr>
          <w:rFonts w:ascii="Arial" w:hAnsi="Arial" w:cs="Arial"/>
          <w:sz w:val="32"/>
          <w:szCs w:val="32"/>
        </w:rPr>
        <w:t>Conclui ainda o citado parecer que:</w:t>
      </w:r>
    </w:p>
    <w:p w14:paraId="1F3340C6" w14:textId="527A5140" w:rsidR="00651096" w:rsidRPr="00AE6504" w:rsidRDefault="00AE6504" w:rsidP="00AE6504">
      <w:pPr>
        <w:ind w:left="1134"/>
        <w:jc w:val="both"/>
        <w:rPr>
          <w:rFonts w:ascii="Arial" w:hAnsi="Arial" w:cs="Arial"/>
          <w:i/>
          <w:sz w:val="32"/>
          <w:szCs w:val="32"/>
        </w:rPr>
      </w:pPr>
      <w:r w:rsidRPr="00AE6504">
        <w:rPr>
          <w:rFonts w:ascii="Arial" w:hAnsi="Arial" w:cs="Arial"/>
          <w:i/>
          <w:sz w:val="32"/>
          <w:szCs w:val="32"/>
        </w:rPr>
        <w:t xml:space="preserve">O </w:t>
      </w:r>
      <w:r w:rsidR="00651096" w:rsidRPr="00AE6504">
        <w:rPr>
          <w:rFonts w:ascii="Arial" w:hAnsi="Arial" w:cs="Arial"/>
          <w:i/>
          <w:sz w:val="32"/>
          <w:szCs w:val="32"/>
        </w:rPr>
        <w:t>cotejo entre essa peculiaridade das PPPs e o modelo tradicional da (ainda vigente) Lei 8.666/1993, permite dessumir o anacronismo deste, em detrimento daquele.</w:t>
      </w:r>
    </w:p>
    <w:p w14:paraId="0C48AE06" w14:textId="77777777" w:rsidR="00AE6504" w:rsidRPr="00AE6504" w:rsidRDefault="00AE6504" w:rsidP="00AE6504">
      <w:pPr>
        <w:ind w:left="1134"/>
        <w:jc w:val="both"/>
        <w:rPr>
          <w:rFonts w:ascii="Arial" w:hAnsi="Arial" w:cs="Arial"/>
          <w:i/>
          <w:sz w:val="32"/>
          <w:szCs w:val="32"/>
        </w:rPr>
      </w:pPr>
      <w:r w:rsidRPr="00AE6504">
        <w:rPr>
          <w:rFonts w:ascii="Arial" w:hAnsi="Arial" w:cs="Arial"/>
          <w:i/>
          <w:sz w:val="32"/>
          <w:szCs w:val="32"/>
        </w:rPr>
        <w:t>(...)</w:t>
      </w:r>
    </w:p>
    <w:p w14:paraId="5B48C83C" w14:textId="77777777" w:rsidR="00AE6504" w:rsidRPr="00AE6504" w:rsidRDefault="00AE6504" w:rsidP="00AE6504">
      <w:pPr>
        <w:ind w:left="1134"/>
        <w:jc w:val="both"/>
        <w:rPr>
          <w:rFonts w:ascii="Arial" w:hAnsi="Arial" w:cs="Arial"/>
          <w:i/>
          <w:sz w:val="32"/>
          <w:szCs w:val="32"/>
        </w:rPr>
      </w:pPr>
      <w:r w:rsidRPr="00AE6504">
        <w:rPr>
          <w:rFonts w:ascii="Arial" w:hAnsi="Arial" w:cs="Arial"/>
          <w:i/>
          <w:sz w:val="32"/>
          <w:szCs w:val="32"/>
        </w:rPr>
        <w:t>É verdade que a Lei 14.133/2021 – a nova lei de licitações e contratos administrativos – incorporou como regramento geral a variabilidade remuneratória (art. 144). No entanto, como ainda estão sendo feitos no Município de São Paulo estudos sobre a utilização desse novel diploma na Administração local – cuja aplicabilidade depende de regulamentação -, aplica-se integralmente o regime anterior, ainda em vigor (cf. art. 7º da Portaria SGM 134/2021).</w:t>
      </w:r>
    </w:p>
    <w:p w14:paraId="12369E82" w14:textId="77777777" w:rsidR="00651096" w:rsidRDefault="00651096" w:rsidP="000A0188">
      <w:pPr>
        <w:ind w:firstLine="1134"/>
        <w:jc w:val="both"/>
        <w:rPr>
          <w:rFonts w:ascii="Arial" w:hAnsi="Arial" w:cs="Arial"/>
          <w:sz w:val="32"/>
          <w:szCs w:val="32"/>
        </w:rPr>
      </w:pPr>
    </w:p>
    <w:p w14:paraId="546BAC9A" w14:textId="707D1AC7" w:rsidR="00DE37E7" w:rsidRDefault="00AE6504" w:rsidP="000A0188">
      <w:pPr>
        <w:ind w:firstLine="1134"/>
        <w:jc w:val="both"/>
        <w:rPr>
          <w:rFonts w:ascii="Arial" w:hAnsi="Arial" w:cs="Arial"/>
          <w:sz w:val="32"/>
          <w:szCs w:val="32"/>
        </w:rPr>
      </w:pPr>
      <w:r>
        <w:rPr>
          <w:rFonts w:ascii="Arial" w:hAnsi="Arial" w:cs="Arial"/>
          <w:sz w:val="32"/>
          <w:szCs w:val="32"/>
        </w:rPr>
        <w:t xml:space="preserve">Quanto à </w:t>
      </w:r>
      <w:r w:rsidR="00DE37E7">
        <w:rPr>
          <w:rFonts w:ascii="Arial" w:hAnsi="Arial" w:cs="Arial"/>
          <w:sz w:val="32"/>
          <w:szCs w:val="32"/>
        </w:rPr>
        <w:t>modelagem</w:t>
      </w:r>
      <w:r>
        <w:rPr>
          <w:rFonts w:ascii="Arial" w:hAnsi="Arial" w:cs="Arial"/>
          <w:sz w:val="32"/>
          <w:szCs w:val="32"/>
        </w:rPr>
        <w:t xml:space="preserve"> d</w:t>
      </w:r>
      <w:r w:rsidR="00DE37E7">
        <w:rPr>
          <w:rFonts w:ascii="Arial" w:hAnsi="Arial" w:cs="Arial"/>
          <w:sz w:val="32"/>
          <w:szCs w:val="32"/>
        </w:rPr>
        <w:t>e</w:t>
      </w:r>
      <w:r>
        <w:rPr>
          <w:rFonts w:ascii="Arial" w:hAnsi="Arial" w:cs="Arial"/>
          <w:sz w:val="32"/>
          <w:szCs w:val="32"/>
        </w:rPr>
        <w:t xml:space="preserve"> contratação dos serviços de manutenção </w:t>
      </w:r>
      <w:r w:rsidR="00DE37E7">
        <w:rPr>
          <w:rFonts w:ascii="Arial" w:hAnsi="Arial" w:cs="Arial"/>
          <w:sz w:val="32"/>
          <w:szCs w:val="32"/>
        </w:rPr>
        <w:t xml:space="preserve">tendo por base </w:t>
      </w:r>
      <w:r>
        <w:rPr>
          <w:rFonts w:ascii="Arial" w:hAnsi="Arial" w:cs="Arial"/>
          <w:sz w:val="32"/>
          <w:szCs w:val="32"/>
        </w:rPr>
        <w:t>a Lei 8.666, assiste razão à Procuradoria do Município</w:t>
      </w:r>
      <w:r w:rsidR="00E8251A">
        <w:rPr>
          <w:rFonts w:ascii="Arial" w:hAnsi="Arial" w:cs="Arial"/>
          <w:sz w:val="32"/>
          <w:szCs w:val="32"/>
        </w:rPr>
        <w:t xml:space="preserve"> </w:t>
      </w:r>
      <w:r w:rsidR="00E8251A" w:rsidRPr="00645A14">
        <w:rPr>
          <w:rFonts w:ascii="Arial" w:hAnsi="Arial" w:cs="Arial"/>
          <w:sz w:val="32"/>
          <w:szCs w:val="32"/>
        </w:rPr>
        <w:t xml:space="preserve">em relação </w:t>
      </w:r>
      <w:r w:rsidR="00DE37E7" w:rsidRPr="00645A14">
        <w:rPr>
          <w:rFonts w:ascii="Arial" w:hAnsi="Arial" w:cs="Arial"/>
          <w:sz w:val="32"/>
          <w:szCs w:val="32"/>
        </w:rPr>
        <w:t>ao fato de que os atuais contratos de manutenção semafórica na Cidade evidenciaram que este formato acaba por trazer disfunção à contratação</w:t>
      </w:r>
      <w:r w:rsidR="00E8251A" w:rsidRPr="00645A14">
        <w:rPr>
          <w:rFonts w:ascii="Arial" w:hAnsi="Arial" w:cs="Arial"/>
          <w:sz w:val="32"/>
          <w:szCs w:val="32"/>
        </w:rPr>
        <w:t xml:space="preserve">. Isso </w:t>
      </w:r>
      <w:r w:rsidR="008F25B4" w:rsidRPr="00645A14">
        <w:rPr>
          <w:rFonts w:ascii="Arial" w:hAnsi="Arial" w:cs="Arial"/>
          <w:sz w:val="32"/>
          <w:szCs w:val="32"/>
        </w:rPr>
        <w:t>porque</w:t>
      </w:r>
      <w:r w:rsidR="00E8251A" w:rsidRPr="00645A14">
        <w:rPr>
          <w:rFonts w:ascii="Arial" w:hAnsi="Arial" w:cs="Arial"/>
          <w:sz w:val="32"/>
          <w:szCs w:val="32"/>
        </w:rPr>
        <w:t xml:space="preserve">, </w:t>
      </w:r>
      <w:r w:rsidR="00DE37E7" w:rsidRPr="00645A14">
        <w:rPr>
          <w:rFonts w:ascii="Arial" w:hAnsi="Arial" w:cs="Arial"/>
          <w:sz w:val="32"/>
          <w:szCs w:val="32"/>
        </w:rPr>
        <w:t>quanto mais precário</w:t>
      </w:r>
      <w:r w:rsidR="00E8251A" w:rsidRPr="00645A14">
        <w:rPr>
          <w:rFonts w:ascii="Arial" w:hAnsi="Arial" w:cs="Arial"/>
          <w:sz w:val="32"/>
          <w:szCs w:val="32"/>
        </w:rPr>
        <w:t>s</w:t>
      </w:r>
      <w:r w:rsidR="00DE37E7" w:rsidRPr="00645A14">
        <w:rPr>
          <w:rFonts w:ascii="Arial" w:hAnsi="Arial" w:cs="Arial"/>
          <w:sz w:val="32"/>
          <w:szCs w:val="32"/>
        </w:rPr>
        <w:t xml:space="preserve"> e disfunciona</w:t>
      </w:r>
      <w:r w:rsidR="00E8251A" w:rsidRPr="00645A14">
        <w:rPr>
          <w:rFonts w:ascii="Arial" w:hAnsi="Arial" w:cs="Arial"/>
          <w:sz w:val="32"/>
          <w:szCs w:val="32"/>
        </w:rPr>
        <w:t>is</w:t>
      </w:r>
      <w:r w:rsidR="00DE37E7" w:rsidRPr="00645A14">
        <w:rPr>
          <w:rFonts w:ascii="Arial" w:hAnsi="Arial" w:cs="Arial"/>
          <w:sz w:val="32"/>
          <w:szCs w:val="32"/>
        </w:rPr>
        <w:t xml:space="preserve"> forem os equipamentos semafóricos</w:t>
      </w:r>
      <w:r w:rsidR="00E8251A" w:rsidRPr="00645A14">
        <w:rPr>
          <w:rFonts w:ascii="Arial" w:hAnsi="Arial" w:cs="Arial"/>
          <w:sz w:val="32"/>
          <w:szCs w:val="32"/>
        </w:rPr>
        <w:t>,</w:t>
      </w:r>
      <w:r w:rsidR="00DE37E7" w:rsidRPr="00645A14">
        <w:rPr>
          <w:rFonts w:ascii="Arial" w:hAnsi="Arial" w:cs="Arial"/>
          <w:sz w:val="32"/>
          <w:szCs w:val="32"/>
        </w:rPr>
        <w:t xml:space="preserve"> maior </w:t>
      </w:r>
      <w:r w:rsidR="00DE37E7">
        <w:rPr>
          <w:rFonts w:ascii="Arial" w:hAnsi="Arial" w:cs="Arial"/>
          <w:sz w:val="32"/>
          <w:szCs w:val="32"/>
        </w:rPr>
        <w:t xml:space="preserve">será o lucro da empresa contratada, conduzindo assim ao desestímulo à realização de manutenções preventivas e ágeis para o bom funcionamento dos equipamentos. Há desestímulo também para a modernização do sistema e para o investimento em inovação, fatores que ao melhorarem a qualidade do parque semafórico </w:t>
      </w:r>
      <w:r w:rsidR="0093235F">
        <w:rPr>
          <w:rFonts w:ascii="Arial" w:hAnsi="Arial" w:cs="Arial"/>
          <w:sz w:val="32"/>
          <w:szCs w:val="32"/>
        </w:rPr>
        <w:t xml:space="preserve">se </w:t>
      </w:r>
      <w:r w:rsidR="00DE37E7">
        <w:rPr>
          <w:rFonts w:ascii="Arial" w:hAnsi="Arial" w:cs="Arial"/>
          <w:sz w:val="32"/>
          <w:szCs w:val="32"/>
        </w:rPr>
        <w:lastRenderedPageBreak/>
        <w:t xml:space="preserve">traduziriam na redução da lucratividade </w:t>
      </w:r>
      <w:r w:rsidR="008F25B4">
        <w:rPr>
          <w:rFonts w:ascii="Arial" w:hAnsi="Arial" w:cs="Arial"/>
          <w:sz w:val="32"/>
          <w:szCs w:val="32"/>
        </w:rPr>
        <w:t>d</w:t>
      </w:r>
      <w:r w:rsidR="00DE37E7">
        <w:rPr>
          <w:rFonts w:ascii="Arial" w:hAnsi="Arial" w:cs="Arial"/>
          <w:sz w:val="32"/>
          <w:szCs w:val="32"/>
        </w:rPr>
        <w:t>a operação por parte da contratada.</w:t>
      </w:r>
    </w:p>
    <w:p w14:paraId="41C985CF" w14:textId="77777777" w:rsidR="008F25B4" w:rsidRDefault="008F25B4" w:rsidP="000A0188">
      <w:pPr>
        <w:ind w:firstLine="1134"/>
        <w:jc w:val="both"/>
        <w:rPr>
          <w:rFonts w:ascii="Arial" w:hAnsi="Arial" w:cs="Arial"/>
          <w:sz w:val="32"/>
          <w:szCs w:val="32"/>
        </w:rPr>
      </w:pPr>
      <w:r>
        <w:rPr>
          <w:rFonts w:ascii="Arial" w:hAnsi="Arial" w:cs="Arial"/>
          <w:sz w:val="32"/>
          <w:szCs w:val="32"/>
        </w:rPr>
        <w:t xml:space="preserve">Por outro lado, conforme bem observou a Assessoria Jurídica da Secretaria Municipal de Transportes ao analisar a prestação dos serviços de manutenção e modernização semafórica: </w:t>
      </w:r>
    </w:p>
    <w:p w14:paraId="6B1F2552" w14:textId="77777777" w:rsidR="008F25B4" w:rsidRDefault="008F25B4" w:rsidP="000A0188">
      <w:pPr>
        <w:ind w:firstLine="1134"/>
        <w:jc w:val="both"/>
        <w:rPr>
          <w:rFonts w:ascii="Arial" w:hAnsi="Arial" w:cs="Arial"/>
          <w:sz w:val="32"/>
          <w:szCs w:val="32"/>
        </w:rPr>
      </w:pPr>
    </w:p>
    <w:p w14:paraId="24E7B3CD" w14:textId="77777777" w:rsidR="00651096" w:rsidRDefault="008F25B4" w:rsidP="008F25B4">
      <w:pPr>
        <w:ind w:left="1134"/>
        <w:jc w:val="both"/>
        <w:rPr>
          <w:rFonts w:ascii="Arial" w:hAnsi="Arial" w:cs="Arial"/>
          <w:sz w:val="32"/>
          <w:szCs w:val="32"/>
        </w:rPr>
      </w:pPr>
      <w:r w:rsidRPr="008F25B4">
        <w:rPr>
          <w:rFonts w:ascii="Arial" w:hAnsi="Arial" w:cs="Arial"/>
          <w:i/>
          <w:sz w:val="32"/>
          <w:szCs w:val="32"/>
        </w:rPr>
        <w:t>As PPPs, por sua vez, têm como fim oferecer aos contratados a possibilidade de lucrar diante da funcionalidade permanente do sistema, da sua eficiência, da sua modernização, da sua economicidade. Por meio de metas de qualidade e funcionalidade, alcançados os alvos perseguidos ‘a prestação’, por meio de critérios objetivos mensuráveis, a execução contratual se aperfeiçoa e o contratado cumpre sua avença. A lógica do regime produz como efeito, para o público, melhores serviços e constante modernização.</w:t>
      </w:r>
    </w:p>
    <w:p w14:paraId="67E9806F" w14:textId="77777777" w:rsidR="00AE6504" w:rsidRDefault="00AE6504" w:rsidP="000A0188">
      <w:pPr>
        <w:ind w:firstLine="1134"/>
        <w:jc w:val="both"/>
        <w:rPr>
          <w:rFonts w:ascii="Arial" w:hAnsi="Arial" w:cs="Arial"/>
          <w:sz w:val="32"/>
          <w:szCs w:val="32"/>
        </w:rPr>
      </w:pPr>
    </w:p>
    <w:p w14:paraId="03F10EAD" w14:textId="5879C62F" w:rsidR="002859CB" w:rsidRDefault="002859CB" w:rsidP="004D010A">
      <w:pPr>
        <w:ind w:firstLine="1134"/>
        <w:jc w:val="both"/>
        <w:rPr>
          <w:rFonts w:ascii="Arial" w:hAnsi="Arial" w:cs="Arial"/>
          <w:sz w:val="32"/>
          <w:szCs w:val="32"/>
        </w:rPr>
      </w:pPr>
      <w:r>
        <w:rPr>
          <w:rFonts w:ascii="Arial" w:hAnsi="Arial" w:cs="Arial"/>
          <w:sz w:val="32"/>
          <w:szCs w:val="32"/>
        </w:rPr>
        <w:t xml:space="preserve">Nesse sentido, com fundamento na legislação atualmente vigente, a Administração fez a opção pela adoção da modalidade de PPP, </w:t>
      </w:r>
      <w:r w:rsidR="004D010A">
        <w:rPr>
          <w:rFonts w:ascii="Arial" w:hAnsi="Arial" w:cs="Arial"/>
          <w:sz w:val="32"/>
          <w:szCs w:val="32"/>
        </w:rPr>
        <w:t>vislumbrando que a melhor forma de atender ao interesse público seria a</w:t>
      </w:r>
      <w:r>
        <w:rPr>
          <w:rFonts w:ascii="Arial" w:hAnsi="Arial" w:cs="Arial"/>
          <w:sz w:val="32"/>
          <w:szCs w:val="32"/>
        </w:rPr>
        <w:t xml:space="preserve"> inclus</w:t>
      </w:r>
      <w:r w:rsidR="004D010A">
        <w:rPr>
          <w:rFonts w:ascii="Arial" w:hAnsi="Arial" w:cs="Arial"/>
          <w:sz w:val="32"/>
          <w:szCs w:val="32"/>
        </w:rPr>
        <w:t xml:space="preserve">ão dos serviços </w:t>
      </w:r>
      <w:r>
        <w:rPr>
          <w:rFonts w:ascii="Arial" w:hAnsi="Arial" w:cs="Arial"/>
          <w:sz w:val="32"/>
          <w:szCs w:val="32"/>
        </w:rPr>
        <w:t>semafóricos à PPP da iluminação pública</w:t>
      </w:r>
      <w:r w:rsidR="004D010A">
        <w:rPr>
          <w:rFonts w:ascii="Arial" w:hAnsi="Arial" w:cs="Arial"/>
          <w:sz w:val="32"/>
          <w:szCs w:val="32"/>
        </w:rPr>
        <w:t xml:space="preserve"> já em curso na cidade através do contrato nº 03/SMSO/2018</w:t>
      </w:r>
      <w:r>
        <w:rPr>
          <w:rFonts w:ascii="Arial" w:hAnsi="Arial" w:cs="Arial"/>
          <w:sz w:val="32"/>
          <w:szCs w:val="32"/>
        </w:rPr>
        <w:t>, com fundamento no que dispõe a Lei Municipal nº 17.731/22, que permite</w:t>
      </w:r>
      <w:r w:rsidR="00F30AF7">
        <w:rPr>
          <w:rFonts w:ascii="Arial" w:hAnsi="Arial" w:cs="Arial"/>
          <w:sz w:val="32"/>
          <w:szCs w:val="32"/>
        </w:rPr>
        <w:t xml:space="preserve"> -</w:t>
      </w:r>
      <w:r>
        <w:rPr>
          <w:rFonts w:ascii="Arial" w:hAnsi="Arial" w:cs="Arial"/>
          <w:sz w:val="32"/>
          <w:szCs w:val="32"/>
        </w:rPr>
        <w:t xml:space="preserve"> de forma expressa </w:t>
      </w:r>
      <w:r w:rsidR="00F30AF7">
        <w:rPr>
          <w:rFonts w:ascii="Arial" w:hAnsi="Arial" w:cs="Arial"/>
          <w:sz w:val="32"/>
          <w:szCs w:val="32"/>
        </w:rPr>
        <w:t xml:space="preserve">- </w:t>
      </w:r>
      <w:r>
        <w:rPr>
          <w:rFonts w:ascii="Arial" w:hAnsi="Arial" w:cs="Arial"/>
          <w:sz w:val="32"/>
          <w:szCs w:val="32"/>
        </w:rPr>
        <w:t>a extensão contratual para incorporação de serviços aos contratos de parceria</w:t>
      </w:r>
      <w:r w:rsidR="00F30AF7">
        <w:rPr>
          <w:rFonts w:ascii="Arial" w:hAnsi="Arial" w:cs="Arial"/>
          <w:sz w:val="32"/>
          <w:szCs w:val="32"/>
        </w:rPr>
        <w:t>,</w:t>
      </w:r>
      <w:r>
        <w:rPr>
          <w:rFonts w:ascii="Arial" w:hAnsi="Arial" w:cs="Arial"/>
          <w:sz w:val="32"/>
          <w:szCs w:val="32"/>
        </w:rPr>
        <w:t xml:space="preserve"> como </w:t>
      </w:r>
      <w:r w:rsidR="004D010A">
        <w:rPr>
          <w:rFonts w:ascii="Arial" w:hAnsi="Arial" w:cs="Arial"/>
          <w:sz w:val="32"/>
          <w:szCs w:val="32"/>
        </w:rPr>
        <w:t>no caso da contratação em referência.</w:t>
      </w:r>
    </w:p>
    <w:p w14:paraId="51CCA8FC" w14:textId="6FC8EDD3" w:rsidR="004D010A" w:rsidRDefault="004D010A" w:rsidP="005B22AA">
      <w:pPr>
        <w:ind w:firstLine="1134"/>
        <w:jc w:val="both"/>
        <w:rPr>
          <w:rFonts w:ascii="Arial" w:hAnsi="Arial" w:cs="Arial"/>
          <w:sz w:val="32"/>
          <w:szCs w:val="32"/>
        </w:rPr>
      </w:pPr>
      <w:r>
        <w:rPr>
          <w:rFonts w:ascii="Arial" w:hAnsi="Arial" w:cs="Arial"/>
          <w:sz w:val="32"/>
          <w:szCs w:val="32"/>
        </w:rPr>
        <w:t>Não há</w:t>
      </w:r>
      <w:r w:rsidR="00F315C5">
        <w:rPr>
          <w:rFonts w:ascii="Arial" w:hAnsi="Arial" w:cs="Arial"/>
          <w:sz w:val="32"/>
          <w:szCs w:val="32"/>
        </w:rPr>
        <w:t xml:space="preserve">, </w:t>
      </w:r>
      <w:r>
        <w:rPr>
          <w:rFonts w:ascii="Arial" w:hAnsi="Arial" w:cs="Arial"/>
          <w:sz w:val="32"/>
          <w:szCs w:val="32"/>
        </w:rPr>
        <w:t>portanto, sob o ponto de vista da legalidade, ofensa ao dever de licitar</w:t>
      </w:r>
      <w:r w:rsidR="009B56BE">
        <w:rPr>
          <w:rFonts w:ascii="Arial" w:hAnsi="Arial" w:cs="Arial"/>
          <w:sz w:val="32"/>
          <w:szCs w:val="32"/>
        </w:rPr>
        <w:t>,</w:t>
      </w:r>
      <w:r>
        <w:rPr>
          <w:rFonts w:ascii="Arial" w:hAnsi="Arial" w:cs="Arial"/>
          <w:sz w:val="32"/>
          <w:szCs w:val="32"/>
        </w:rPr>
        <w:t xml:space="preserve"> </w:t>
      </w:r>
      <w:r w:rsidR="00CC3055">
        <w:rPr>
          <w:rFonts w:ascii="Arial" w:hAnsi="Arial" w:cs="Arial"/>
          <w:sz w:val="32"/>
          <w:szCs w:val="32"/>
        </w:rPr>
        <w:t>uma vez que</w:t>
      </w:r>
      <w:r w:rsidR="005B22AA">
        <w:rPr>
          <w:rFonts w:ascii="Arial" w:hAnsi="Arial" w:cs="Arial"/>
          <w:sz w:val="32"/>
          <w:szCs w:val="32"/>
        </w:rPr>
        <w:t xml:space="preserve"> </w:t>
      </w:r>
      <w:r w:rsidR="005B22AA" w:rsidRPr="005B22AA">
        <w:rPr>
          <w:rFonts w:ascii="Arial" w:hAnsi="Arial" w:cs="Arial"/>
          <w:sz w:val="32"/>
          <w:szCs w:val="32"/>
        </w:rPr>
        <w:t>a possibilidade de</w:t>
      </w:r>
      <w:r w:rsidR="005B22AA">
        <w:rPr>
          <w:rFonts w:ascii="Arial" w:hAnsi="Arial" w:cs="Arial"/>
          <w:sz w:val="32"/>
          <w:szCs w:val="32"/>
        </w:rPr>
        <w:t xml:space="preserve"> </w:t>
      </w:r>
      <w:r w:rsidR="005B22AA" w:rsidRPr="005B22AA">
        <w:rPr>
          <w:rFonts w:ascii="Arial" w:hAnsi="Arial" w:cs="Arial"/>
          <w:sz w:val="32"/>
          <w:szCs w:val="32"/>
        </w:rPr>
        <w:t>prorrogação antecipada e de extensão contratual</w:t>
      </w:r>
      <w:r w:rsidR="00DE2690">
        <w:rPr>
          <w:rFonts w:ascii="Arial" w:hAnsi="Arial" w:cs="Arial"/>
          <w:sz w:val="32"/>
          <w:szCs w:val="32"/>
        </w:rPr>
        <w:t xml:space="preserve"> </w:t>
      </w:r>
      <w:r w:rsidR="00CC3055">
        <w:rPr>
          <w:rFonts w:ascii="Arial" w:hAnsi="Arial" w:cs="Arial"/>
          <w:sz w:val="32"/>
          <w:szCs w:val="32"/>
        </w:rPr>
        <w:t xml:space="preserve">estão </w:t>
      </w:r>
      <w:r w:rsidR="00DE2690">
        <w:rPr>
          <w:rFonts w:ascii="Arial" w:hAnsi="Arial" w:cs="Arial"/>
          <w:sz w:val="32"/>
          <w:szCs w:val="32"/>
        </w:rPr>
        <w:lastRenderedPageBreak/>
        <w:t>estabelecidas na legislação do município</w:t>
      </w:r>
      <w:r w:rsidR="005B22AA" w:rsidRPr="005B22AA">
        <w:rPr>
          <w:rFonts w:ascii="Arial" w:hAnsi="Arial" w:cs="Arial"/>
          <w:sz w:val="32"/>
          <w:szCs w:val="32"/>
        </w:rPr>
        <w:t xml:space="preserve">, </w:t>
      </w:r>
      <w:r w:rsidR="00CC3055">
        <w:rPr>
          <w:rFonts w:ascii="Arial" w:hAnsi="Arial" w:cs="Arial"/>
          <w:sz w:val="32"/>
          <w:szCs w:val="32"/>
        </w:rPr>
        <w:t>tendo como requisito</w:t>
      </w:r>
      <w:r w:rsidR="005B22AA" w:rsidRPr="005B22AA">
        <w:rPr>
          <w:rFonts w:ascii="Arial" w:hAnsi="Arial" w:cs="Arial"/>
          <w:sz w:val="32"/>
          <w:szCs w:val="32"/>
        </w:rPr>
        <w:t xml:space="preserve"> a inclusão de investimentos não previstos</w:t>
      </w:r>
      <w:r w:rsidR="005B22AA">
        <w:rPr>
          <w:rFonts w:ascii="Arial" w:hAnsi="Arial" w:cs="Arial"/>
          <w:sz w:val="32"/>
          <w:szCs w:val="32"/>
        </w:rPr>
        <w:t xml:space="preserve"> </w:t>
      </w:r>
      <w:r w:rsidR="005B22AA" w:rsidRPr="005B22AA">
        <w:rPr>
          <w:rFonts w:ascii="Arial" w:hAnsi="Arial" w:cs="Arial"/>
          <w:sz w:val="32"/>
          <w:szCs w:val="32"/>
        </w:rPr>
        <w:t>no negócio originário, agregando-se serviços associados que detenham sinergia com a prestação</w:t>
      </w:r>
      <w:r w:rsidR="005B22AA">
        <w:rPr>
          <w:rFonts w:ascii="Arial" w:hAnsi="Arial" w:cs="Arial"/>
          <w:sz w:val="32"/>
          <w:szCs w:val="32"/>
        </w:rPr>
        <w:t xml:space="preserve"> </w:t>
      </w:r>
      <w:r w:rsidR="00092A60">
        <w:rPr>
          <w:rFonts w:ascii="Arial" w:hAnsi="Arial" w:cs="Arial"/>
          <w:sz w:val="32"/>
          <w:szCs w:val="32"/>
        </w:rPr>
        <w:t>originária</w:t>
      </w:r>
      <w:r w:rsidR="005B22AA" w:rsidRPr="005B22AA">
        <w:rPr>
          <w:rFonts w:ascii="Arial" w:hAnsi="Arial" w:cs="Arial"/>
          <w:sz w:val="32"/>
          <w:szCs w:val="32"/>
        </w:rPr>
        <w:t>, com a necessária observância à economicidade</w:t>
      </w:r>
      <w:r w:rsidR="005B22AA">
        <w:rPr>
          <w:rFonts w:ascii="Arial" w:hAnsi="Arial" w:cs="Arial"/>
          <w:sz w:val="32"/>
          <w:szCs w:val="32"/>
        </w:rPr>
        <w:t>.</w:t>
      </w:r>
    </w:p>
    <w:p w14:paraId="337BB6D8" w14:textId="3B9A5211" w:rsidR="00593F94" w:rsidRPr="00664962" w:rsidRDefault="00A671A0" w:rsidP="00593F94">
      <w:pPr>
        <w:ind w:firstLine="708"/>
        <w:jc w:val="both"/>
        <w:rPr>
          <w:rFonts w:ascii="Arial" w:hAnsi="Arial" w:cs="Arial"/>
          <w:sz w:val="32"/>
          <w:szCs w:val="32"/>
        </w:rPr>
      </w:pPr>
      <w:r w:rsidRPr="00807DF8">
        <w:rPr>
          <w:rFonts w:ascii="Arial" w:hAnsi="Arial" w:cs="Arial"/>
          <w:sz w:val="32"/>
          <w:szCs w:val="32"/>
        </w:rPr>
        <w:t>Assim, é possível se constatar que o Aditivo contratual se dá em um contrato cujo critério de contratação foi definido</w:t>
      </w:r>
      <w:r w:rsidR="00CC3055" w:rsidRPr="00807DF8">
        <w:rPr>
          <w:rFonts w:ascii="Arial" w:hAnsi="Arial" w:cs="Arial"/>
          <w:sz w:val="32"/>
          <w:szCs w:val="32"/>
        </w:rPr>
        <w:t xml:space="preserve"> observando-se as regras da PPP em curso, resultante de um procedimento licitatório</w:t>
      </w:r>
      <w:r w:rsidR="00593F94" w:rsidRPr="00807DF8">
        <w:rPr>
          <w:rFonts w:ascii="Arial" w:hAnsi="Arial" w:cs="Arial"/>
          <w:sz w:val="32"/>
          <w:szCs w:val="32"/>
        </w:rPr>
        <w:t xml:space="preserve">. </w:t>
      </w:r>
      <w:r w:rsidR="00CC3055" w:rsidRPr="00807DF8">
        <w:rPr>
          <w:rFonts w:ascii="Arial" w:hAnsi="Arial" w:cs="Arial"/>
          <w:sz w:val="32"/>
          <w:szCs w:val="32"/>
        </w:rPr>
        <w:t xml:space="preserve">Tanto é assim que </w:t>
      </w:r>
      <w:r w:rsidR="00593F94" w:rsidRPr="00807DF8">
        <w:rPr>
          <w:rFonts w:ascii="Arial" w:hAnsi="Arial" w:cs="Arial"/>
          <w:sz w:val="32"/>
          <w:szCs w:val="32"/>
        </w:rPr>
        <w:t>à contratada não cabe negociar preç</w:t>
      </w:r>
      <w:r w:rsidR="00B760AA">
        <w:rPr>
          <w:rFonts w:ascii="Arial" w:hAnsi="Arial" w:cs="Arial"/>
          <w:sz w:val="32"/>
          <w:szCs w:val="32"/>
        </w:rPr>
        <w:t xml:space="preserve">o, </w:t>
      </w:r>
      <w:r w:rsidR="00593F94" w:rsidRPr="00807DF8">
        <w:rPr>
          <w:rFonts w:ascii="Arial" w:hAnsi="Arial" w:cs="Arial"/>
          <w:sz w:val="32"/>
          <w:szCs w:val="32"/>
        </w:rPr>
        <w:t xml:space="preserve">mas apenas aceitar a imposição de ampliação do objeto pelos poderes exorbitantes da Administração Pública. </w:t>
      </w:r>
      <w:r w:rsidR="00CC3055" w:rsidRPr="00807DF8">
        <w:rPr>
          <w:rFonts w:ascii="Arial" w:hAnsi="Arial" w:cs="Arial"/>
          <w:sz w:val="32"/>
          <w:szCs w:val="32"/>
        </w:rPr>
        <w:t>Desta forma</w:t>
      </w:r>
      <w:r w:rsidR="00593F94" w:rsidRPr="00807DF8">
        <w:rPr>
          <w:rFonts w:ascii="Arial" w:hAnsi="Arial" w:cs="Arial"/>
          <w:sz w:val="32"/>
          <w:szCs w:val="32"/>
        </w:rPr>
        <w:t xml:space="preserve">, </w:t>
      </w:r>
      <w:r w:rsidR="00CC3055" w:rsidRPr="00807DF8">
        <w:rPr>
          <w:rFonts w:ascii="Arial" w:hAnsi="Arial" w:cs="Arial"/>
          <w:sz w:val="32"/>
          <w:szCs w:val="32"/>
        </w:rPr>
        <w:t xml:space="preserve">nas justificativas da </w:t>
      </w:r>
      <w:r w:rsidR="00407583">
        <w:rPr>
          <w:rFonts w:ascii="Arial" w:hAnsi="Arial" w:cs="Arial"/>
          <w:sz w:val="32"/>
          <w:szCs w:val="32"/>
        </w:rPr>
        <w:t>A</w:t>
      </w:r>
      <w:r w:rsidR="00CC3055" w:rsidRPr="00807DF8">
        <w:rPr>
          <w:rFonts w:ascii="Arial" w:hAnsi="Arial" w:cs="Arial"/>
          <w:sz w:val="32"/>
          <w:szCs w:val="32"/>
        </w:rPr>
        <w:t xml:space="preserve">dministração se infere a possibilidade de </w:t>
      </w:r>
      <w:r w:rsidR="00593F94" w:rsidRPr="00807DF8">
        <w:rPr>
          <w:rFonts w:ascii="Arial" w:hAnsi="Arial" w:cs="Arial"/>
          <w:sz w:val="32"/>
          <w:szCs w:val="32"/>
        </w:rPr>
        <w:t>que o valor pago pelo Município será o valor atingido no mercado licitatório.</w:t>
      </w:r>
    </w:p>
    <w:p w14:paraId="2C225A81" w14:textId="77777777" w:rsidR="003F2EF9" w:rsidRDefault="003F2EF9" w:rsidP="00961899">
      <w:pPr>
        <w:ind w:firstLine="1134"/>
        <w:jc w:val="both"/>
        <w:rPr>
          <w:rFonts w:ascii="Arial" w:hAnsi="Arial" w:cs="Arial"/>
          <w:sz w:val="32"/>
          <w:szCs w:val="32"/>
        </w:rPr>
      </w:pPr>
      <w:r w:rsidRPr="009277F7">
        <w:rPr>
          <w:rFonts w:ascii="Arial" w:hAnsi="Arial" w:cs="Arial"/>
          <w:sz w:val="32"/>
          <w:szCs w:val="32"/>
        </w:rPr>
        <w:t xml:space="preserve">Dentro das competências constitucionais dos Tribunais de Contas encontra-se o controle de legalidade, que sob a égide da Lei municipal n.º </w:t>
      </w:r>
      <w:r w:rsidR="00F11036" w:rsidRPr="009277F7">
        <w:rPr>
          <w:rFonts w:ascii="Arial" w:hAnsi="Arial" w:cs="Arial"/>
          <w:sz w:val="32"/>
          <w:szCs w:val="32"/>
        </w:rPr>
        <w:t xml:space="preserve">17.731/22 e o cumprimento dos requisitos de seu artigo 19, não </w:t>
      </w:r>
      <w:r w:rsidR="00CC3055">
        <w:rPr>
          <w:rFonts w:ascii="Arial" w:hAnsi="Arial" w:cs="Arial"/>
          <w:sz w:val="32"/>
          <w:szCs w:val="32"/>
        </w:rPr>
        <w:t>havendo</w:t>
      </w:r>
      <w:r w:rsidR="00F11036" w:rsidRPr="009277F7">
        <w:rPr>
          <w:rFonts w:ascii="Arial" w:hAnsi="Arial" w:cs="Arial"/>
          <w:sz w:val="32"/>
          <w:szCs w:val="32"/>
        </w:rPr>
        <w:t xml:space="preserve"> como não vislumbrar a aplicação e reconhecimento de seus efeitos. </w:t>
      </w:r>
    </w:p>
    <w:p w14:paraId="3CF6DF21" w14:textId="77777777" w:rsidR="00A11A99" w:rsidRPr="009277F7" w:rsidRDefault="00A11A99" w:rsidP="00A11A99">
      <w:pPr>
        <w:ind w:firstLine="1134"/>
        <w:jc w:val="both"/>
        <w:rPr>
          <w:rFonts w:ascii="Arial" w:hAnsi="Arial" w:cs="Arial"/>
          <w:sz w:val="32"/>
          <w:szCs w:val="32"/>
        </w:rPr>
      </w:pPr>
      <w:r w:rsidRPr="009277F7">
        <w:rPr>
          <w:rFonts w:ascii="Arial" w:hAnsi="Arial" w:cs="Arial"/>
          <w:sz w:val="32"/>
          <w:szCs w:val="32"/>
        </w:rPr>
        <w:t xml:space="preserve">Quando analisada a alteração contratual com base em suas especificidades, em que a Origem determina condições de realização, conforme será demonstrado oportunamente, e o contratado confirma o interesse, têm-se pela possibilidade jurídica de sua realização, com amparo na natureza contratual e na lei municipal de regência. </w:t>
      </w:r>
    </w:p>
    <w:p w14:paraId="65DACDC7" w14:textId="63C0323D" w:rsidR="00AB4E52" w:rsidRDefault="00DE2690" w:rsidP="00AB4E52">
      <w:pPr>
        <w:ind w:firstLine="1134"/>
        <w:jc w:val="both"/>
        <w:rPr>
          <w:rFonts w:ascii="Arial" w:hAnsi="Arial" w:cs="Arial"/>
          <w:sz w:val="32"/>
          <w:szCs w:val="32"/>
        </w:rPr>
      </w:pPr>
      <w:r>
        <w:rPr>
          <w:rFonts w:ascii="Arial" w:hAnsi="Arial" w:cs="Arial"/>
          <w:sz w:val="32"/>
          <w:szCs w:val="32"/>
        </w:rPr>
        <w:t xml:space="preserve">No que toca à possível transfiguração do objeto contratual, a questão será melhor discutida adiante, </w:t>
      </w:r>
      <w:r w:rsidR="00AB4E52">
        <w:rPr>
          <w:rFonts w:ascii="Arial" w:hAnsi="Arial" w:cs="Arial"/>
          <w:sz w:val="32"/>
          <w:szCs w:val="32"/>
        </w:rPr>
        <w:t>quando serão avaliados aspectos relacionados à sinergia operacional e à economicidade</w:t>
      </w:r>
      <w:r w:rsidR="006917A9">
        <w:rPr>
          <w:rFonts w:ascii="Arial" w:hAnsi="Arial" w:cs="Arial"/>
          <w:sz w:val="32"/>
          <w:szCs w:val="32"/>
        </w:rPr>
        <w:t>.</w:t>
      </w:r>
      <w:r>
        <w:rPr>
          <w:rFonts w:ascii="Arial" w:hAnsi="Arial" w:cs="Arial"/>
          <w:sz w:val="32"/>
          <w:szCs w:val="32"/>
        </w:rPr>
        <w:t xml:space="preserve"> </w:t>
      </w:r>
      <w:r w:rsidR="006917A9" w:rsidRPr="00645A14">
        <w:rPr>
          <w:rFonts w:ascii="Arial" w:hAnsi="Arial" w:cs="Arial"/>
          <w:sz w:val="32"/>
          <w:szCs w:val="32"/>
        </w:rPr>
        <w:t>N</w:t>
      </w:r>
      <w:r w:rsidRPr="00645A14">
        <w:rPr>
          <w:rFonts w:ascii="Arial" w:hAnsi="Arial" w:cs="Arial"/>
          <w:sz w:val="32"/>
          <w:szCs w:val="32"/>
        </w:rPr>
        <w:t xml:space="preserve">o entanto, </w:t>
      </w:r>
      <w:r>
        <w:rPr>
          <w:rFonts w:ascii="Arial" w:hAnsi="Arial" w:cs="Arial"/>
          <w:sz w:val="32"/>
          <w:szCs w:val="32"/>
        </w:rPr>
        <w:t xml:space="preserve">para fins de exame da legalidade, as conclusões alcançadas pela Administração fundamentaram-se em diversos pareceres de suas áreas técnicas e jurídicas competentes, os quais </w:t>
      </w:r>
      <w:r w:rsidR="00AB4E52">
        <w:rPr>
          <w:rFonts w:ascii="Arial" w:hAnsi="Arial" w:cs="Arial"/>
          <w:sz w:val="32"/>
          <w:szCs w:val="32"/>
        </w:rPr>
        <w:lastRenderedPageBreak/>
        <w:t xml:space="preserve">indicaram, à unanimidade, pela ausência de </w:t>
      </w:r>
      <w:r w:rsidR="00AB4E52" w:rsidRPr="00AB4E52">
        <w:rPr>
          <w:rFonts w:ascii="Arial" w:hAnsi="Arial" w:cs="Arial"/>
          <w:sz w:val="32"/>
          <w:szCs w:val="32"/>
        </w:rPr>
        <w:t>modificação do objeto do contrato de concessão, e</w:t>
      </w:r>
      <w:r w:rsidR="00AB4E52">
        <w:rPr>
          <w:rFonts w:ascii="Arial" w:hAnsi="Arial" w:cs="Arial"/>
          <w:sz w:val="32"/>
          <w:szCs w:val="32"/>
        </w:rPr>
        <w:t xml:space="preserve"> </w:t>
      </w:r>
      <w:r w:rsidR="00AB4E52" w:rsidRPr="00AB4E52">
        <w:rPr>
          <w:rFonts w:ascii="Arial" w:hAnsi="Arial" w:cs="Arial"/>
          <w:sz w:val="32"/>
          <w:szCs w:val="32"/>
        </w:rPr>
        <w:t xml:space="preserve">sim a incorporação de serviço associado, </w:t>
      </w:r>
      <w:r w:rsidR="00AB4E52" w:rsidRPr="00AB4E52">
        <w:rPr>
          <w:rFonts w:ascii="Arial" w:hAnsi="Arial" w:cs="Arial"/>
          <w:i/>
          <w:sz w:val="32"/>
          <w:szCs w:val="32"/>
        </w:rPr>
        <w:t>ex vi</w:t>
      </w:r>
      <w:r w:rsidR="00AB4E52" w:rsidRPr="00AB4E52">
        <w:rPr>
          <w:rFonts w:ascii="Arial" w:hAnsi="Arial" w:cs="Arial"/>
          <w:sz w:val="32"/>
          <w:szCs w:val="32"/>
        </w:rPr>
        <w:t xml:space="preserve"> dos a</w:t>
      </w:r>
      <w:r w:rsidR="00AB4E52">
        <w:rPr>
          <w:rFonts w:ascii="Arial" w:hAnsi="Arial" w:cs="Arial"/>
          <w:sz w:val="32"/>
          <w:szCs w:val="32"/>
        </w:rPr>
        <w:t>rts. 5º e 19 da lei 17.731/2022.</w:t>
      </w:r>
    </w:p>
    <w:p w14:paraId="16152E80" w14:textId="5BAE9DDA" w:rsidR="007E3BBA" w:rsidRDefault="00AB4E52" w:rsidP="00AB4E52">
      <w:pPr>
        <w:ind w:firstLine="1134"/>
        <w:jc w:val="both"/>
        <w:rPr>
          <w:rFonts w:ascii="Arial" w:hAnsi="Arial" w:cs="Arial"/>
          <w:sz w:val="32"/>
          <w:szCs w:val="32"/>
        </w:rPr>
      </w:pPr>
      <w:r>
        <w:rPr>
          <w:rFonts w:ascii="Arial" w:hAnsi="Arial" w:cs="Arial"/>
          <w:sz w:val="32"/>
          <w:szCs w:val="32"/>
        </w:rPr>
        <w:t xml:space="preserve">Tais constatações me levam a concluir, neste primeiro momento de exame </w:t>
      </w:r>
      <w:r w:rsidR="00A11A99">
        <w:rPr>
          <w:rFonts w:ascii="Arial" w:hAnsi="Arial" w:cs="Arial"/>
          <w:sz w:val="32"/>
          <w:szCs w:val="32"/>
        </w:rPr>
        <w:t>do</w:t>
      </w:r>
      <w:r>
        <w:rPr>
          <w:rFonts w:ascii="Arial" w:hAnsi="Arial" w:cs="Arial"/>
          <w:sz w:val="32"/>
          <w:szCs w:val="32"/>
        </w:rPr>
        <w:t xml:space="preserve"> fundamento legal</w:t>
      </w:r>
      <w:r w:rsidR="00A11A99">
        <w:rPr>
          <w:rFonts w:ascii="Arial" w:hAnsi="Arial" w:cs="Arial"/>
          <w:sz w:val="32"/>
          <w:szCs w:val="32"/>
        </w:rPr>
        <w:t xml:space="preserve"> da pretensão da Administração</w:t>
      </w:r>
      <w:r>
        <w:rPr>
          <w:rFonts w:ascii="Arial" w:hAnsi="Arial" w:cs="Arial"/>
          <w:sz w:val="32"/>
          <w:szCs w:val="32"/>
        </w:rPr>
        <w:t>, pela compatibilidade técnica genérica entre os serviços de iluminação pública e aquele relativo à manutenção e modernização do parque semafórico</w:t>
      </w:r>
      <w:r w:rsidR="007E3BBA">
        <w:rPr>
          <w:rFonts w:ascii="Arial" w:hAnsi="Arial" w:cs="Arial"/>
          <w:sz w:val="32"/>
          <w:szCs w:val="32"/>
        </w:rPr>
        <w:t xml:space="preserve"> como um serviço associado, admitindo-se</w:t>
      </w:r>
      <w:r w:rsidR="00E45475">
        <w:rPr>
          <w:rFonts w:ascii="Arial" w:hAnsi="Arial" w:cs="Arial"/>
          <w:sz w:val="32"/>
          <w:szCs w:val="32"/>
        </w:rPr>
        <w:t>,</w:t>
      </w:r>
      <w:r w:rsidR="007E3BBA">
        <w:rPr>
          <w:rFonts w:ascii="Arial" w:hAnsi="Arial" w:cs="Arial"/>
          <w:sz w:val="32"/>
          <w:szCs w:val="32"/>
        </w:rPr>
        <w:t xml:space="preserve"> assim</w:t>
      </w:r>
      <w:r w:rsidR="00E45475">
        <w:rPr>
          <w:rFonts w:ascii="Arial" w:hAnsi="Arial" w:cs="Arial"/>
          <w:sz w:val="32"/>
          <w:szCs w:val="32"/>
        </w:rPr>
        <w:t>,</w:t>
      </w:r>
      <w:r w:rsidR="007E3BBA">
        <w:rPr>
          <w:rFonts w:ascii="Arial" w:hAnsi="Arial" w:cs="Arial"/>
          <w:sz w:val="32"/>
          <w:szCs w:val="32"/>
        </w:rPr>
        <w:t xml:space="preserve"> a extensão contratual nos termos</w:t>
      </w:r>
      <w:r w:rsidR="00CC3055">
        <w:rPr>
          <w:rFonts w:ascii="Arial" w:hAnsi="Arial" w:cs="Arial"/>
          <w:sz w:val="32"/>
          <w:szCs w:val="32"/>
        </w:rPr>
        <w:t xml:space="preserve"> do</w:t>
      </w:r>
      <w:r w:rsidR="007E3BBA">
        <w:rPr>
          <w:rFonts w:ascii="Arial" w:hAnsi="Arial" w:cs="Arial"/>
          <w:sz w:val="32"/>
          <w:szCs w:val="32"/>
        </w:rPr>
        <w:t xml:space="preserve"> quanto previsto na legislação, </w:t>
      </w:r>
      <w:r w:rsidR="00A11A99">
        <w:rPr>
          <w:rFonts w:ascii="Arial" w:hAnsi="Arial" w:cs="Arial"/>
          <w:sz w:val="32"/>
          <w:szCs w:val="32"/>
        </w:rPr>
        <w:t xml:space="preserve">não se caracterizando, </w:t>
      </w:r>
      <w:r w:rsidR="00AE283E" w:rsidRPr="00645A14">
        <w:rPr>
          <w:rFonts w:ascii="Arial" w:hAnsi="Arial" w:cs="Arial"/>
          <w:sz w:val="32"/>
          <w:szCs w:val="32"/>
        </w:rPr>
        <w:t>desse modo</w:t>
      </w:r>
      <w:r w:rsidR="00A11A99">
        <w:rPr>
          <w:rFonts w:ascii="Arial" w:hAnsi="Arial" w:cs="Arial"/>
          <w:sz w:val="32"/>
          <w:szCs w:val="32"/>
        </w:rPr>
        <w:t>, a</w:t>
      </w:r>
      <w:r w:rsidR="007E3BBA">
        <w:rPr>
          <w:rFonts w:ascii="Arial" w:hAnsi="Arial" w:cs="Arial"/>
          <w:sz w:val="32"/>
          <w:szCs w:val="32"/>
        </w:rPr>
        <w:t xml:space="preserve"> transmutação do objeto do contrato nº 03/SMSO/2018.</w:t>
      </w:r>
    </w:p>
    <w:p w14:paraId="45A5AADC" w14:textId="097EC9B5" w:rsidR="007E3BBA" w:rsidRDefault="007E3BBA" w:rsidP="00AB4E52">
      <w:pPr>
        <w:ind w:firstLine="1134"/>
        <w:jc w:val="both"/>
        <w:rPr>
          <w:rFonts w:ascii="Arial" w:hAnsi="Arial" w:cs="Arial"/>
          <w:sz w:val="32"/>
          <w:szCs w:val="32"/>
        </w:rPr>
      </w:pPr>
      <w:r>
        <w:rPr>
          <w:rFonts w:ascii="Arial" w:hAnsi="Arial" w:cs="Arial"/>
          <w:sz w:val="32"/>
          <w:szCs w:val="32"/>
        </w:rPr>
        <w:t xml:space="preserve">Em relação a possíveis falhas nas pesquisas realizadas pela Origem </w:t>
      </w:r>
      <w:r w:rsidR="00A11A99">
        <w:rPr>
          <w:rFonts w:ascii="Arial" w:hAnsi="Arial" w:cs="Arial"/>
          <w:sz w:val="32"/>
          <w:szCs w:val="32"/>
        </w:rPr>
        <w:t>para demonstração da operação conjunta dos serviços de iluminação e semafórico e</w:t>
      </w:r>
      <w:r w:rsidR="00FB36A0">
        <w:rPr>
          <w:rFonts w:ascii="Arial" w:hAnsi="Arial" w:cs="Arial"/>
          <w:sz w:val="32"/>
          <w:szCs w:val="32"/>
        </w:rPr>
        <w:t>m</w:t>
      </w:r>
      <w:r>
        <w:rPr>
          <w:rFonts w:ascii="Arial" w:hAnsi="Arial" w:cs="Arial"/>
          <w:sz w:val="32"/>
          <w:szCs w:val="32"/>
        </w:rPr>
        <w:t xml:space="preserve"> experiência</w:t>
      </w:r>
      <w:r w:rsidR="00A11A99">
        <w:rPr>
          <w:rFonts w:ascii="Arial" w:hAnsi="Arial" w:cs="Arial"/>
          <w:sz w:val="32"/>
          <w:szCs w:val="32"/>
        </w:rPr>
        <w:t>s</w:t>
      </w:r>
      <w:r>
        <w:rPr>
          <w:rFonts w:ascii="Arial" w:hAnsi="Arial" w:cs="Arial"/>
          <w:sz w:val="32"/>
          <w:szCs w:val="32"/>
        </w:rPr>
        <w:t xml:space="preserve"> </w:t>
      </w:r>
      <w:r w:rsidR="00A11A99">
        <w:rPr>
          <w:rFonts w:ascii="Arial" w:hAnsi="Arial" w:cs="Arial"/>
          <w:sz w:val="32"/>
          <w:szCs w:val="32"/>
        </w:rPr>
        <w:t>internacionais e em</w:t>
      </w:r>
      <w:r w:rsidR="00D8401D">
        <w:rPr>
          <w:rFonts w:ascii="Arial" w:hAnsi="Arial" w:cs="Arial"/>
          <w:sz w:val="32"/>
          <w:szCs w:val="32"/>
        </w:rPr>
        <w:t xml:space="preserve"> outros entes da federação, entendo que o apontamento não tem o condão de infirmar a conclusão pela viabilidade da proposta da Administração</w:t>
      </w:r>
      <w:r w:rsidR="009F36F6">
        <w:rPr>
          <w:rFonts w:ascii="Arial" w:hAnsi="Arial" w:cs="Arial"/>
          <w:sz w:val="32"/>
          <w:szCs w:val="32"/>
        </w:rPr>
        <w:t>.</w:t>
      </w:r>
    </w:p>
    <w:p w14:paraId="7F9882E6" w14:textId="6AC50F41" w:rsidR="00DE2690" w:rsidRDefault="00D8401D" w:rsidP="00D8401D">
      <w:pPr>
        <w:ind w:firstLine="1134"/>
        <w:jc w:val="both"/>
        <w:rPr>
          <w:rFonts w:ascii="Arial" w:hAnsi="Arial" w:cs="Arial"/>
          <w:sz w:val="32"/>
          <w:szCs w:val="32"/>
        </w:rPr>
      </w:pPr>
      <w:r>
        <w:rPr>
          <w:rFonts w:ascii="Arial" w:hAnsi="Arial" w:cs="Arial"/>
          <w:sz w:val="32"/>
          <w:szCs w:val="32"/>
        </w:rPr>
        <w:t xml:space="preserve">Já quanto </w:t>
      </w:r>
      <w:r w:rsidR="00A11A99">
        <w:rPr>
          <w:rFonts w:ascii="Arial" w:hAnsi="Arial" w:cs="Arial"/>
          <w:sz w:val="32"/>
          <w:szCs w:val="32"/>
        </w:rPr>
        <w:t>ao apontamento</w:t>
      </w:r>
      <w:r>
        <w:rPr>
          <w:rFonts w:ascii="Arial" w:hAnsi="Arial" w:cs="Arial"/>
          <w:sz w:val="32"/>
          <w:szCs w:val="32"/>
        </w:rPr>
        <w:t xml:space="preserve"> da Auditoria </w:t>
      </w:r>
      <w:r w:rsidR="00A11A99">
        <w:rPr>
          <w:rFonts w:ascii="Arial" w:hAnsi="Arial" w:cs="Arial"/>
          <w:sz w:val="32"/>
          <w:szCs w:val="32"/>
        </w:rPr>
        <w:t xml:space="preserve">relacionado à </w:t>
      </w:r>
      <w:r>
        <w:rPr>
          <w:rFonts w:ascii="Arial" w:hAnsi="Arial" w:cs="Arial"/>
          <w:sz w:val="32"/>
          <w:szCs w:val="32"/>
        </w:rPr>
        <w:t xml:space="preserve">suposta </w:t>
      </w:r>
      <w:r w:rsidRPr="00EE0FC8">
        <w:rPr>
          <w:rFonts w:ascii="Arial" w:hAnsi="Arial" w:cs="Arial"/>
          <w:sz w:val="32"/>
          <w:szCs w:val="32"/>
        </w:rPr>
        <w:t>inaptidão da incorporação dos serviços semafóricos à PPP como meio de promover a política pública de gestão integrada de serviços (</w:t>
      </w:r>
      <w:r w:rsidR="00E007F1">
        <w:rPr>
          <w:rFonts w:ascii="Arial" w:hAnsi="Arial" w:cs="Arial"/>
          <w:sz w:val="32"/>
          <w:szCs w:val="32"/>
        </w:rPr>
        <w:t>S</w:t>
      </w:r>
      <w:r w:rsidRPr="00EE0FC8">
        <w:rPr>
          <w:rFonts w:ascii="Arial" w:hAnsi="Arial" w:cs="Arial"/>
          <w:sz w:val="32"/>
          <w:szCs w:val="32"/>
        </w:rPr>
        <w:t xml:space="preserve">mart </w:t>
      </w:r>
      <w:r w:rsidR="00E007F1">
        <w:rPr>
          <w:rFonts w:ascii="Arial" w:hAnsi="Arial" w:cs="Arial"/>
          <w:sz w:val="32"/>
          <w:szCs w:val="32"/>
        </w:rPr>
        <w:t>C</w:t>
      </w:r>
      <w:r w:rsidRPr="00EE0FC8">
        <w:rPr>
          <w:rFonts w:ascii="Arial" w:hAnsi="Arial" w:cs="Arial"/>
          <w:sz w:val="32"/>
          <w:szCs w:val="32"/>
        </w:rPr>
        <w:t>ity) na c</w:t>
      </w:r>
      <w:r>
        <w:rPr>
          <w:rFonts w:ascii="Arial" w:hAnsi="Arial" w:cs="Arial"/>
          <w:sz w:val="32"/>
          <w:szCs w:val="32"/>
        </w:rPr>
        <w:t xml:space="preserve">idade, </w:t>
      </w:r>
      <w:r w:rsidR="00475584">
        <w:rPr>
          <w:rFonts w:ascii="Arial" w:hAnsi="Arial" w:cs="Arial"/>
          <w:sz w:val="32"/>
          <w:szCs w:val="32"/>
        </w:rPr>
        <w:t>a questão será aprofundada adiante, quando do exame da sinergia operacional.</w:t>
      </w:r>
      <w:r>
        <w:rPr>
          <w:rFonts w:ascii="Arial" w:hAnsi="Arial" w:cs="Arial"/>
          <w:sz w:val="32"/>
          <w:szCs w:val="32"/>
        </w:rPr>
        <w:t xml:space="preserve"> </w:t>
      </w:r>
      <w:r w:rsidR="00DE2690">
        <w:rPr>
          <w:rFonts w:ascii="Arial" w:hAnsi="Arial" w:cs="Arial"/>
          <w:sz w:val="32"/>
          <w:szCs w:val="32"/>
        </w:rPr>
        <w:t xml:space="preserve"> </w:t>
      </w:r>
    </w:p>
    <w:p w14:paraId="18E2AE9D" w14:textId="77777777" w:rsidR="00A11A99" w:rsidRDefault="009F36F6" w:rsidP="00D8401D">
      <w:pPr>
        <w:ind w:firstLine="1134"/>
        <w:jc w:val="both"/>
        <w:rPr>
          <w:rFonts w:ascii="Arial" w:hAnsi="Arial" w:cs="Arial"/>
          <w:sz w:val="32"/>
          <w:szCs w:val="32"/>
        </w:rPr>
      </w:pPr>
      <w:r>
        <w:rPr>
          <w:rFonts w:ascii="Arial" w:hAnsi="Arial" w:cs="Arial"/>
          <w:sz w:val="32"/>
          <w:szCs w:val="32"/>
        </w:rPr>
        <w:t xml:space="preserve">Entretanto, cabe observar que </w:t>
      </w:r>
      <w:r w:rsidR="00D8401D">
        <w:rPr>
          <w:rFonts w:ascii="Arial" w:hAnsi="Arial" w:cs="Arial"/>
          <w:sz w:val="32"/>
          <w:szCs w:val="32"/>
        </w:rPr>
        <w:t xml:space="preserve">a incorporação dos serviços aqui debatidos </w:t>
      </w:r>
      <w:r>
        <w:rPr>
          <w:rFonts w:ascii="Arial" w:hAnsi="Arial" w:cs="Arial"/>
          <w:sz w:val="32"/>
          <w:szCs w:val="32"/>
        </w:rPr>
        <w:t>deve</w:t>
      </w:r>
      <w:r w:rsidR="00D8401D">
        <w:rPr>
          <w:rFonts w:ascii="Arial" w:hAnsi="Arial" w:cs="Arial"/>
          <w:sz w:val="32"/>
          <w:szCs w:val="32"/>
        </w:rPr>
        <w:t xml:space="preserve"> também </w:t>
      </w:r>
      <w:r>
        <w:rPr>
          <w:rFonts w:ascii="Arial" w:hAnsi="Arial" w:cs="Arial"/>
          <w:sz w:val="32"/>
          <w:szCs w:val="32"/>
        </w:rPr>
        <w:t xml:space="preserve">ser </w:t>
      </w:r>
      <w:r w:rsidR="00D8401D">
        <w:rPr>
          <w:rFonts w:ascii="Arial" w:hAnsi="Arial" w:cs="Arial"/>
          <w:sz w:val="32"/>
          <w:szCs w:val="32"/>
        </w:rPr>
        <w:t xml:space="preserve">abordada sob a perspectiva dos ganhos de eficiência e de inovação </w:t>
      </w:r>
      <w:r w:rsidR="007656ED">
        <w:rPr>
          <w:rFonts w:ascii="Arial" w:hAnsi="Arial" w:cs="Arial"/>
          <w:sz w:val="32"/>
          <w:szCs w:val="32"/>
        </w:rPr>
        <w:t>tecnológica</w:t>
      </w:r>
      <w:r w:rsidR="00A11A99">
        <w:rPr>
          <w:rFonts w:ascii="Arial" w:hAnsi="Arial" w:cs="Arial"/>
          <w:sz w:val="32"/>
          <w:szCs w:val="32"/>
        </w:rPr>
        <w:t>,</w:t>
      </w:r>
      <w:r w:rsidR="009113C3">
        <w:rPr>
          <w:rFonts w:ascii="Arial" w:hAnsi="Arial" w:cs="Arial"/>
          <w:sz w:val="32"/>
          <w:szCs w:val="32"/>
        </w:rPr>
        <w:t xml:space="preserve"> </w:t>
      </w:r>
      <w:r w:rsidR="00A11A99">
        <w:rPr>
          <w:rFonts w:ascii="Arial" w:hAnsi="Arial" w:cs="Arial"/>
          <w:sz w:val="32"/>
          <w:szCs w:val="32"/>
        </w:rPr>
        <w:t>c</w:t>
      </w:r>
      <w:r w:rsidR="009113C3">
        <w:rPr>
          <w:rFonts w:ascii="Arial" w:hAnsi="Arial" w:cs="Arial"/>
          <w:sz w:val="32"/>
          <w:szCs w:val="32"/>
        </w:rPr>
        <w:t>omo me</w:t>
      </w:r>
      <w:r w:rsidR="00A11A99">
        <w:rPr>
          <w:rFonts w:ascii="Arial" w:hAnsi="Arial" w:cs="Arial"/>
          <w:sz w:val="32"/>
          <w:szCs w:val="32"/>
        </w:rPr>
        <w:t>ncionado na fase preambular dest</w:t>
      </w:r>
      <w:r w:rsidR="009113C3">
        <w:rPr>
          <w:rFonts w:ascii="Arial" w:hAnsi="Arial" w:cs="Arial"/>
          <w:sz w:val="32"/>
          <w:szCs w:val="32"/>
        </w:rPr>
        <w:t>e voto</w:t>
      </w:r>
      <w:r w:rsidR="00A11A99">
        <w:rPr>
          <w:rFonts w:ascii="Arial" w:hAnsi="Arial" w:cs="Arial"/>
          <w:sz w:val="32"/>
          <w:szCs w:val="32"/>
        </w:rPr>
        <w:t>.</w:t>
      </w:r>
    </w:p>
    <w:p w14:paraId="4B5176A8" w14:textId="77777777" w:rsidR="00A11A99" w:rsidRDefault="00A11A99" w:rsidP="00A11A99">
      <w:pPr>
        <w:ind w:firstLine="1134"/>
        <w:jc w:val="both"/>
        <w:rPr>
          <w:rFonts w:ascii="Arial" w:eastAsia="Times New Roman" w:hAnsi="Arial" w:cs="Arial"/>
          <w:sz w:val="32"/>
          <w:szCs w:val="32"/>
        </w:rPr>
      </w:pPr>
      <w:r>
        <w:rPr>
          <w:rFonts w:ascii="Arial" w:hAnsi="Arial" w:cs="Arial"/>
          <w:sz w:val="32"/>
          <w:szCs w:val="32"/>
        </w:rPr>
        <w:t xml:space="preserve">Deve-se levar em consideração que ao mesmo </w:t>
      </w:r>
      <w:r w:rsidRPr="00A11A99">
        <w:rPr>
          <w:rFonts w:ascii="Arial" w:eastAsia="Times New Roman" w:hAnsi="Arial" w:cs="Arial"/>
          <w:sz w:val="32"/>
          <w:szCs w:val="32"/>
        </w:rPr>
        <w:t xml:space="preserve"> tempo em que o conceito de cidade inteligente é uma oportunidade inédita para elevar a qualidade de vida e a competividade </w:t>
      </w:r>
      <w:r w:rsidR="00A859E0">
        <w:rPr>
          <w:rFonts w:ascii="Arial" w:eastAsia="Times New Roman" w:hAnsi="Arial" w:cs="Arial"/>
          <w:sz w:val="32"/>
          <w:szCs w:val="32"/>
        </w:rPr>
        <w:t xml:space="preserve">de uma cidade como a do porte de São </w:t>
      </w:r>
      <w:r w:rsidR="00A859E0">
        <w:rPr>
          <w:rFonts w:ascii="Arial" w:eastAsia="Times New Roman" w:hAnsi="Arial" w:cs="Arial"/>
          <w:sz w:val="32"/>
          <w:szCs w:val="32"/>
        </w:rPr>
        <w:lastRenderedPageBreak/>
        <w:t>Paulo</w:t>
      </w:r>
      <w:r w:rsidRPr="00A11A99">
        <w:rPr>
          <w:rFonts w:ascii="Arial" w:eastAsia="Times New Roman" w:hAnsi="Arial" w:cs="Arial"/>
          <w:sz w:val="32"/>
          <w:szCs w:val="32"/>
        </w:rPr>
        <w:t xml:space="preserve">, para os gestores públicos </w:t>
      </w:r>
      <w:r w:rsidR="00A859E0">
        <w:rPr>
          <w:rFonts w:ascii="Arial" w:eastAsia="Times New Roman" w:hAnsi="Arial" w:cs="Arial"/>
          <w:sz w:val="32"/>
          <w:szCs w:val="32"/>
        </w:rPr>
        <w:t>a adoção do conceito de Smart Cities</w:t>
      </w:r>
      <w:r w:rsidRPr="00A11A99">
        <w:rPr>
          <w:rFonts w:ascii="Arial" w:eastAsia="Times New Roman" w:hAnsi="Arial" w:cs="Arial"/>
          <w:sz w:val="32"/>
          <w:szCs w:val="32"/>
        </w:rPr>
        <w:t xml:space="preserve"> coloca</w:t>
      </w:r>
      <w:r>
        <w:rPr>
          <w:rFonts w:ascii="Arial" w:eastAsia="Times New Roman" w:hAnsi="Arial" w:cs="Arial"/>
          <w:sz w:val="32"/>
          <w:szCs w:val="32"/>
        </w:rPr>
        <w:t xml:space="preserve"> também como um grande desafio, </w:t>
      </w:r>
      <w:r w:rsidR="00A859E0">
        <w:rPr>
          <w:rFonts w:ascii="Arial" w:eastAsia="Times New Roman" w:hAnsi="Arial" w:cs="Arial"/>
          <w:sz w:val="32"/>
          <w:szCs w:val="32"/>
        </w:rPr>
        <w:t xml:space="preserve">o qual </w:t>
      </w:r>
      <w:r>
        <w:rPr>
          <w:rFonts w:ascii="Arial" w:eastAsia="Times New Roman" w:hAnsi="Arial" w:cs="Arial"/>
          <w:sz w:val="32"/>
          <w:szCs w:val="32"/>
        </w:rPr>
        <w:t xml:space="preserve"> impõe à </w:t>
      </w:r>
      <w:r w:rsidR="00A859E0">
        <w:rPr>
          <w:rFonts w:ascii="Arial" w:eastAsia="Times New Roman" w:hAnsi="Arial" w:cs="Arial"/>
          <w:sz w:val="32"/>
          <w:szCs w:val="32"/>
        </w:rPr>
        <w:t>A</w:t>
      </w:r>
      <w:r>
        <w:rPr>
          <w:rFonts w:ascii="Arial" w:eastAsia="Times New Roman" w:hAnsi="Arial" w:cs="Arial"/>
          <w:sz w:val="32"/>
          <w:szCs w:val="32"/>
        </w:rPr>
        <w:t xml:space="preserve">dministração a adoção de uma visão de futuro que priorize soluções </w:t>
      </w:r>
      <w:r w:rsidR="005E63F7">
        <w:rPr>
          <w:rFonts w:ascii="Arial" w:eastAsia="Times New Roman" w:hAnsi="Arial" w:cs="Arial"/>
          <w:sz w:val="32"/>
          <w:szCs w:val="32"/>
        </w:rPr>
        <w:t>que tenham</w:t>
      </w:r>
      <w:r w:rsidR="00A859E0">
        <w:rPr>
          <w:rFonts w:ascii="Arial" w:eastAsia="Times New Roman" w:hAnsi="Arial" w:cs="Arial"/>
          <w:sz w:val="32"/>
          <w:szCs w:val="32"/>
        </w:rPr>
        <w:t xml:space="preserve"> como premissa</w:t>
      </w:r>
      <w:r w:rsidR="005E63F7">
        <w:rPr>
          <w:rFonts w:ascii="Arial" w:eastAsia="Times New Roman" w:hAnsi="Arial" w:cs="Arial"/>
          <w:sz w:val="32"/>
          <w:szCs w:val="32"/>
        </w:rPr>
        <w:t xml:space="preserve"> a inovação tecnológica e a integração efetiva dos diversos serviços e setores da cidade.</w:t>
      </w:r>
    </w:p>
    <w:p w14:paraId="0F41D8A9" w14:textId="09156D3E" w:rsidR="00A11A99" w:rsidRDefault="00A859E0" w:rsidP="00A11A99">
      <w:pPr>
        <w:ind w:firstLine="1134"/>
        <w:jc w:val="both"/>
        <w:rPr>
          <w:rFonts w:ascii="Arial" w:eastAsia="Times New Roman" w:hAnsi="Arial" w:cs="Arial"/>
          <w:sz w:val="32"/>
          <w:szCs w:val="32"/>
        </w:rPr>
      </w:pPr>
      <w:r>
        <w:rPr>
          <w:rFonts w:ascii="Arial" w:eastAsia="Times New Roman" w:hAnsi="Arial" w:cs="Arial"/>
          <w:sz w:val="32"/>
          <w:szCs w:val="32"/>
        </w:rPr>
        <w:t>Nesse sentido</w:t>
      </w:r>
      <w:r w:rsidR="0047772B">
        <w:rPr>
          <w:rFonts w:ascii="Arial" w:eastAsia="Times New Roman" w:hAnsi="Arial" w:cs="Arial"/>
          <w:sz w:val="32"/>
          <w:szCs w:val="32"/>
        </w:rPr>
        <w:t>,</w:t>
      </w:r>
      <w:r>
        <w:rPr>
          <w:rFonts w:ascii="Arial" w:eastAsia="Times New Roman" w:hAnsi="Arial" w:cs="Arial"/>
          <w:sz w:val="32"/>
          <w:szCs w:val="32"/>
        </w:rPr>
        <w:t xml:space="preserve"> a integração de dois serviços públicos como pretendido pela Municipalidade se mostra como uma excelente oportunidade para a implementação desses conceitos</w:t>
      </w:r>
      <w:r w:rsidR="00475584">
        <w:rPr>
          <w:rFonts w:ascii="Arial" w:eastAsia="Times New Roman" w:hAnsi="Arial" w:cs="Arial"/>
          <w:sz w:val="32"/>
          <w:szCs w:val="32"/>
        </w:rPr>
        <w:t>, merecendo um tratamento cuidadoso por parte da Administração.</w:t>
      </w:r>
    </w:p>
    <w:p w14:paraId="6C2185C3" w14:textId="43ABC173" w:rsidR="006A6496" w:rsidRDefault="006A6496" w:rsidP="00A11A99">
      <w:pPr>
        <w:ind w:firstLine="1134"/>
        <w:jc w:val="both"/>
        <w:rPr>
          <w:rFonts w:ascii="Arial" w:eastAsia="Times New Roman" w:hAnsi="Arial" w:cs="Arial"/>
          <w:sz w:val="32"/>
          <w:szCs w:val="32"/>
        </w:rPr>
      </w:pPr>
      <w:r>
        <w:rPr>
          <w:rFonts w:ascii="Arial" w:eastAsia="Times New Roman" w:hAnsi="Arial" w:cs="Arial"/>
          <w:sz w:val="32"/>
          <w:szCs w:val="32"/>
        </w:rPr>
        <w:t xml:space="preserve">Cabe ressaltar, nesse </w:t>
      </w:r>
      <w:r w:rsidR="0047772B" w:rsidRPr="00713376">
        <w:rPr>
          <w:rFonts w:ascii="Arial" w:eastAsia="Times New Roman" w:hAnsi="Arial" w:cs="Arial"/>
          <w:sz w:val="32"/>
          <w:szCs w:val="32"/>
        </w:rPr>
        <w:t>compasso</w:t>
      </w:r>
      <w:r>
        <w:rPr>
          <w:rFonts w:ascii="Arial" w:eastAsia="Times New Roman" w:hAnsi="Arial" w:cs="Arial"/>
          <w:sz w:val="32"/>
          <w:szCs w:val="32"/>
        </w:rPr>
        <w:t>, que u</w:t>
      </w:r>
      <w:r w:rsidR="00475584" w:rsidRPr="006A6496">
        <w:rPr>
          <w:rFonts w:ascii="Arial" w:eastAsia="Times New Roman" w:hAnsi="Arial" w:cs="Arial"/>
          <w:sz w:val="32"/>
          <w:szCs w:val="32"/>
        </w:rPr>
        <w:t xml:space="preserve">ma das noções </w:t>
      </w:r>
      <w:r>
        <w:rPr>
          <w:rFonts w:ascii="Arial" w:eastAsia="Times New Roman" w:hAnsi="Arial" w:cs="Arial"/>
          <w:sz w:val="32"/>
          <w:szCs w:val="32"/>
        </w:rPr>
        <w:t>do regime de Parcerias Público</w:t>
      </w:r>
      <w:r w:rsidR="0047772B">
        <w:rPr>
          <w:rFonts w:ascii="Arial" w:eastAsia="Times New Roman" w:hAnsi="Arial" w:cs="Arial"/>
          <w:sz w:val="32"/>
          <w:szCs w:val="32"/>
        </w:rPr>
        <w:t>-</w:t>
      </w:r>
      <w:r>
        <w:rPr>
          <w:rFonts w:ascii="Arial" w:eastAsia="Times New Roman" w:hAnsi="Arial" w:cs="Arial"/>
          <w:sz w:val="32"/>
          <w:szCs w:val="32"/>
        </w:rPr>
        <w:t xml:space="preserve">Privadas </w:t>
      </w:r>
      <w:r w:rsidR="00475584" w:rsidRPr="006A6496">
        <w:rPr>
          <w:rFonts w:ascii="Arial" w:eastAsia="Times New Roman" w:hAnsi="Arial" w:cs="Arial"/>
          <w:sz w:val="32"/>
          <w:szCs w:val="32"/>
        </w:rPr>
        <w:t>é a caracterização das concessões como contratações incompletas, no sentido de inexistir, de modo apriorístico, uma disciplina negocial exaustiva</w:t>
      </w:r>
      <w:r w:rsidR="009F36F6">
        <w:rPr>
          <w:rFonts w:ascii="Arial" w:eastAsia="Times New Roman" w:hAnsi="Arial" w:cs="Arial"/>
          <w:sz w:val="32"/>
          <w:szCs w:val="32"/>
        </w:rPr>
        <w:t>, possibilitando, no decorrer da execução contratual, ajustes e aperfeiçoamentos constantes, que poderão ter como fonte, inclusive, outras experiências bem sucedidas nacionais e internacionais.</w:t>
      </w:r>
    </w:p>
    <w:p w14:paraId="5D1576C9" w14:textId="77777777" w:rsidR="006A6496" w:rsidRDefault="006A6496" w:rsidP="00A11A99">
      <w:pPr>
        <w:ind w:firstLine="1134"/>
        <w:jc w:val="both"/>
        <w:rPr>
          <w:rFonts w:ascii="Arial" w:eastAsia="Times New Roman" w:hAnsi="Arial" w:cs="Arial"/>
          <w:sz w:val="32"/>
          <w:szCs w:val="32"/>
        </w:rPr>
      </w:pPr>
      <w:r>
        <w:rPr>
          <w:rFonts w:ascii="Arial" w:eastAsia="Times New Roman" w:hAnsi="Arial" w:cs="Arial"/>
          <w:sz w:val="32"/>
          <w:szCs w:val="32"/>
        </w:rPr>
        <w:t xml:space="preserve">Como salientado no parecer da Procuradoria Geral do Município, citando a doutrina de </w:t>
      </w:r>
      <w:r w:rsidR="00475584" w:rsidRPr="006A6496">
        <w:rPr>
          <w:rFonts w:ascii="Arial" w:eastAsia="Times New Roman" w:hAnsi="Arial" w:cs="Arial"/>
          <w:sz w:val="32"/>
          <w:szCs w:val="32"/>
        </w:rPr>
        <w:t xml:space="preserve">Egon Bockmann Moreira </w:t>
      </w:r>
      <w:r>
        <w:rPr>
          <w:rFonts w:ascii="Arial" w:eastAsia="Times New Roman" w:hAnsi="Arial" w:cs="Arial"/>
          <w:sz w:val="32"/>
          <w:szCs w:val="32"/>
        </w:rPr>
        <w:t>“</w:t>
      </w:r>
      <w:r w:rsidR="00475584" w:rsidRPr="006A6496">
        <w:rPr>
          <w:rFonts w:ascii="Arial" w:eastAsia="Times New Roman" w:hAnsi="Arial" w:cs="Arial"/>
          <w:sz w:val="32"/>
          <w:szCs w:val="32"/>
        </w:rPr>
        <w:t>as concessões são negócios mui incompletos, pois têm a essência qualificada por elemen</w:t>
      </w:r>
      <w:r>
        <w:rPr>
          <w:rFonts w:ascii="Arial" w:eastAsia="Times New Roman" w:hAnsi="Arial" w:cs="Arial"/>
          <w:sz w:val="32"/>
          <w:szCs w:val="32"/>
        </w:rPr>
        <w:t xml:space="preserve">tos </w:t>
      </w:r>
      <w:r w:rsidRPr="009F36F6">
        <w:rPr>
          <w:rFonts w:ascii="Arial" w:eastAsia="Times New Roman" w:hAnsi="Arial" w:cs="Arial"/>
          <w:b/>
          <w:sz w:val="32"/>
          <w:szCs w:val="32"/>
          <w:u w:val="single"/>
        </w:rPr>
        <w:t>naturalmente variáveis</w:t>
      </w:r>
      <w:r>
        <w:rPr>
          <w:rFonts w:ascii="Arial" w:eastAsia="Times New Roman" w:hAnsi="Arial" w:cs="Arial"/>
          <w:sz w:val="32"/>
          <w:szCs w:val="32"/>
        </w:rPr>
        <w:t xml:space="preserve">". </w:t>
      </w:r>
      <w:r w:rsidR="00475584" w:rsidRPr="006A6496">
        <w:rPr>
          <w:rFonts w:ascii="Arial" w:eastAsia="Times New Roman" w:hAnsi="Arial" w:cs="Arial"/>
          <w:sz w:val="32"/>
          <w:szCs w:val="32"/>
        </w:rPr>
        <w:t xml:space="preserve">Dessa forma é que a doutrina salienta as características da </w:t>
      </w:r>
      <w:r w:rsidR="00475584" w:rsidRPr="009F36F6">
        <w:rPr>
          <w:rFonts w:ascii="Arial" w:eastAsia="Times New Roman" w:hAnsi="Arial" w:cs="Arial"/>
          <w:b/>
          <w:sz w:val="32"/>
          <w:szCs w:val="32"/>
          <w:u w:val="single"/>
        </w:rPr>
        <w:t>adaptabilidade e da mutabilidade</w:t>
      </w:r>
      <w:r w:rsidR="00475584" w:rsidRPr="006A6496">
        <w:rPr>
          <w:rFonts w:ascii="Arial" w:eastAsia="Times New Roman" w:hAnsi="Arial" w:cs="Arial"/>
          <w:sz w:val="32"/>
          <w:szCs w:val="32"/>
        </w:rPr>
        <w:t xml:space="preserve">. </w:t>
      </w:r>
    </w:p>
    <w:p w14:paraId="1B7ADB0F" w14:textId="77884F55" w:rsidR="006A6496" w:rsidRDefault="006A6496" w:rsidP="00A11A99">
      <w:pPr>
        <w:ind w:firstLine="1134"/>
        <w:jc w:val="both"/>
        <w:rPr>
          <w:rFonts w:ascii="Arial" w:eastAsia="Times New Roman" w:hAnsi="Arial" w:cs="Arial"/>
          <w:sz w:val="32"/>
          <w:szCs w:val="32"/>
        </w:rPr>
      </w:pPr>
      <w:r>
        <w:rPr>
          <w:rFonts w:ascii="Arial" w:eastAsia="Times New Roman" w:hAnsi="Arial" w:cs="Arial"/>
          <w:sz w:val="32"/>
          <w:szCs w:val="32"/>
        </w:rPr>
        <w:t xml:space="preserve">Ademais, dentre as características próprias do regime das PPPs, </w:t>
      </w:r>
      <w:r w:rsidR="00475584" w:rsidRPr="006A6496">
        <w:rPr>
          <w:rFonts w:ascii="Arial" w:eastAsia="Times New Roman" w:hAnsi="Arial" w:cs="Arial"/>
          <w:sz w:val="32"/>
          <w:szCs w:val="32"/>
        </w:rPr>
        <w:t>destaca-se a submissão ao</w:t>
      </w:r>
      <w:r>
        <w:rPr>
          <w:rFonts w:ascii="Arial" w:eastAsia="Times New Roman" w:hAnsi="Arial" w:cs="Arial"/>
          <w:sz w:val="32"/>
          <w:szCs w:val="32"/>
        </w:rPr>
        <w:t xml:space="preserve"> denominado</w:t>
      </w:r>
      <w:r w:rsidR="00475584" w:rsidRPr="006A6496">
        <w:rPr>
          <w:rFonts w:ascii="Arial" w:eastAsia="Times New Roman" w:hAnsi="Arial" w:cs="Arial"/>
          <w:sz w:val="32"/>
          <w:szCs w:val="32"/>
        </w:rPr>
        <w:t xml:space="preserve"> </w:t>
      </w:r>
      <w:r w:rsidR="00475584" w:rsidRPr="009F36F6">
        <w:rPr>
          <w:rFonts w:ascii="Arial" w:eastAsia="Times New Roman" w:hAnsi="Arial" w:cs="Arial"/>
          <w:b/>
          <w:sz w:val="32"/>
          <w:szCs w:val="32"/>
          <w:u w:val="single"/>
        </w:rPr>
        <w:t xml:space="preserve">“princípio da variabilidade remuneratória”, </w:t>
      </w:r>
      <w:r w:rsidR="00475584" w:rsidRPr="006A6496">
        <w:rPr>
          <w:rFonts w:ascii="Arial" w:eastAsia="Times New Roman" w:hAnsi="Arial" w:cs="Arial"/>
          <w:sz w:val="32"/>
          <w:szCs w:val="32"/>
        </w:rPr>
        <w:t xml:space="preserve">pelo qual a remuneração do concessionário seja vinculada ao desempenho da pessoa jurídica contratada. É o que dispõe o art. 6º, parágrafo único, da Lei da PPP. </w:t>
      </w:r>
    </w:p>
    <w:p w14:paraId="5332805A" w14:textId="53FA1E30" w:rsidR="00475584" w:rsidRPr="00A11A99" w:rsidRDefault="00475584" w:rsidP="00A11A99">
      <w:pPr>
        <w:ind w:firstLine="1134"/>
        <w:jc w:val="both"/>
        <w:rPr>
          <w:rFonts w:ascii="Arial" w:eastAsia="Times New Roman" w:hAnsi="Arial" w:cs="Arial"/>
          <w:i/>
          <w:sz w:val="32"/>
          <w:szCs w:val="32"/>
        </w:rPr>
      </w:pPr>
      <w:r w:rsidRPr="006A6496">
        <w:rPr>
          <w:rFonts w:ascii="Arial" w:eastAsia="Times New Roman" w:hAnsi="Arial" w:cs="Arial"/>
          <w:sz w:val="32"/>
          <w:szCs w:val="32"/>
        </w:rPr>
        <w:lastRenderedPageBreak/>
        <w:t>O escopo d</w:t>
      </w:r>
      <w:r w:rsidR="006A6496">
        <w:rPr>
          <w:rFonts w:ascii="Arial" w:eastAsia="Times New Roman" w:hAnsi="Arial" w:cs="Arial"/>
          <w:sz w:val="32"/>
          <w:szCs w:val="32"/>
        </w:rPr>
        <w:t>esse</w:t>
      </w:r>
      <w:r w:rsidRPr="006A6496">
        <w:rPr>
          <w:rFonts w:ascii="Arial" w:eastAsia="Times New Roman" w:hAnsi="Arial" w:cs="Arial"/>
          <w:sz w:val="32"/>
          <w:szCs w:val="32"/>
        </w:rPr>
        <w:t xml:space="preserve"> preceito</w:t>
      </w:r>
      <w:r w:rsidR="006A6496">
        <w:rPr>
          <w:rFonts w:ascii="Arial" w:eastAsia="Times New Roman" w:hAnsi="Arial" w:cs="Arial"/>
          <w:sz w:val="32"/>
          <w:szCs w:val="32"/>
        </w:rPr>
        <w:t>,</w:t>
      </w:r>
      <w:r w:rsidR="009F36F6">
        <w:rPr>
          <w:rFonts w:ascii="Arial" w:eastAsia="Times New Roman" w:hAnsi="Arial" w:cs="Arial"/>
          <w:sz w:val="32"/>
          <w:szCs w:val="32"/>
        </w:rPr>
        <w:t xml:space="preserve"> na</w:t>
      </w:r>
      <w:r w:rsidR="006A6496">
        <w:rPr>
          <w:rFonts w:ascii="Arial" w:eastAsia="Times New Roman" w:hAnsi="Arial" w:cs="Arial"/>
          <w:sz w:val="32"/>
          <w:szCs w:val="32"/>
        </w:rPr>
        <w:t xml:space="preserve"> lição de </w:t>
      </w:r>
      <w:r w:rsidR="006A6496" w:rsidRPr="006A6496">
        <w:rPr>
          <w:rFonts w:ascii="Arial" w:eastAsia="Times New Roman" w:hAnsi="Arial" w:cs="Arial"/>
          <w:sz w:val="32"/>
          <w:szCs w:val="32"/>
        </w:rPr>
        <w:t>Maurício Portugal</w:t>
      </w:r>
      <w:r w:rsidR="006A6496">
        <w:rPr>
          <w:rFonts w:ascii="Arial" w:eastAsia="Times New Roman" w:hAnsi="Arial" w:cs="Arial"/>
          <w:sz w:val="32"/>
          <w:szCs w:val="32"/>
        </w:rPr>
        <w:t xml:space="preserve"> Ribeiro, em sua obra</w:t>
      </w:r>
      <w:r w:rsidR="006A6496" w:rsidRPr="006A6496">
        <w:rPr>
          <w:rFonts w:ascii="Arial" w:eastAsia="Times New Roman" w:hAnsi="Arial" w:cs="Arial"/>
          <w:sz w:val="32"/>
          <w:szCs w:val="32"/>
        </w:rPr>
        <w:t xml:space="preserve"> </w:t>
      </w:r>
      <w:r w:rsidR="009245B1">
        <w:rPr>
          <w:rFonts w:ascii="Arial" w:eastAsia="Times New Roman" w:hAnsi="Arial" w:cs="Arial"/>
          <w:sz w:val="32"/>
          <w:szCs w:val="32"/>
        </w:rPr>
        <w:t>“</w:t>
      </w:r>
      <w:r w:rsidR="006A6496" w:rsidRPr="006A6496">
        <w:rPr>
          <w:rFonts w:ascii="Arial" w:eastAsia="Times New Roman" w:hAnsi="Arial" w:cs="Arial"/>
          <w:sz w:val="32"/>
          <w:szCs w:val="32"/>
        </w:rPr>
        <w:t>Comentários à Lei de PPP</w:t>
      </w:r>
      <w:r w:rsidR="009245B1">
        <w:rPr>
          <w:rFonts w:ascii="Arial" w:eastAsia="Times New Roman" w:hAnsi="Arial" w:cs="Arial"/>
          <w:sz w:val="32"/>
          <w:szCs w:val="32"/>
        </w:rPr>
        <w:t>”,</w:t>
      </w:r>
      <w:r w:rsidRPr="006A6496">
        <w:rPr>
          <w:rFonts w:ascii="Arial" w:eastAsia="Times New Roman" w:hAnsi="Arial" w:cs="Arial"/>
          <w:sz w:val="32"/>
          <w:szCs w:val="32"/>
        </w:rPr>
        <w:t xml:space="preserve"> é “</w:t>
      </w:r>
      <w:r w:rsidRPr="006A6496">
        <w:rPr>
          <w:rFonts w:ascii="Arial" w:eastAsia="Times New Roman" w:hAnsi="Arial" w:cs="Arial"/>
          <w:i/>
          <w:sz w:val="32"/>
          <w:szCs w:val="32"/>
        </w:rPr>
        <w:t>vincular a performance do parceiro privado às obrigações da Administração Pública, de modo a sofisticar o sinalagma, o elo entre as obrig</w:t>
      </w:r>
      <w:r w:rsidR="006A6496" w:rsidRPr="006A6496">
        <w:rPr>
          <w:rFonts w:ascii="Arial" w:eastAsia="Times New Roman" w:hAnsi="Arial" w:cs="Arial"/>
          <w:i/>
          <w:sz w:val="32"/>
          <w:szCs w:val="32"/>
        </w:rPr>
        <w:t>ações contrapostas das partes”.</w:t>
      </w:r>
    </w:p>
    <w:p w14:paraId="5372D57C" w14:textId="78D10FC5" w:rsidR="00D8401D" w:rsidRDefault="009113C3" w:rsidP="00D8401D">
      <w:pPr>
        <w:ind w:firstLine="1134"/>
        <w:jc w:val="both"/>
        <w:rPr>
          <w:rFonts w:ascii="Arial" w:hAnsi="Arial" w:cs="Arial"/>
          <w:sz w:val="32"/>
          <w:szCs w:val="32"/>
        </w:rPr>
      </w:pPr>
      <w:r w:rsidRPr="00807DF8">
        <w:rPr>
          <w:rFonts w:ascii="Arial" w:hAnsi="Arial" w:cs="Arial"/>
          <w:sz w:val="32"/>
          <w:szCs w:val="32"/>
        </w:rPr>
        <w:t>Nesse sentido, o termo aditivo deverá prever elementos que assegurem ao município que ao longo da contratação haverá a possibilidade de se exigir do contrat</w:t>
      </w:r>
      <w:r w:rsidR="006A6496" w:rsidRPr="00807DF8">
        <w:rPr>
          <w:rFonts w:ascii="Arial" w:hAnsi="Arial" w:cs="Arial"/>
          <w:sz w:val="32"/>
          <w:szCs w:val="32"/>
        </w:rPr>
        <w:t>ado uma atuação voltada à utilização de tecnologias que tenham como premissa as ideias preconizad</w:t>
      </w:r>
      <w:r w:rsidR="009245B1">
        <w:rPr>
          <w:rFonts w:ascii="Arial" w:hAnsi="Arial" w:cs="Arial"/>
          <w:sz w:val="32"/>
          <w:szCs w:val="32"/>
        </w:rPr>
        <w:t>a</w:t>
      </w:r>
      <w:r w:rsidR="006A6496" w:rsidRPr="00807DF8">
        <w:rPr>
          <w:rFonts w:ascii="Arial" w:hAnsi="Arial" w:cs="Arial"/>
          <w:sz w:val="32"/>
          <w:szCs w:val="32"/>
        </w:rPr>
        <w:t>s no conceito das Smart</w:t>
      </w:r>
      <w:r w:rsidR="008765E1">
        <w:rPr>
          <w:rFonts w:ascii="Arial" w:hAnsi="Arial" w:cs="Arial"/>
          <w:sz w:val="32"/>
          <w:szCs w:val="32"/>
        </w:rPr>
        <w:t xml:space="preserve"> </w:t>
      </w:r>
      <w:r w:rsidR="006A6496" w:rsidRPr="00807DF8">
        <w:rPr>
          <w:rFonts w:ascii="Arial" w:hAnsi="Arial" w:cs="Arial"/>
          <w:sz w:val="32"/>
          <w:szCs w:val="32"/>
        </w:rPr>
        <w:t>Cities, razão pela qual faço determinação sobre o tema ao final do meu voto.</w:t>
      </w:r>
    </w:p>
    <w:p w14:paraId="7774D940" w14:textId="77777777" w:rsidR="00C70F96" w:rsidRPr="009277F7" w:rsidRDefault="00C70F96" w:rsidP="00961899">
      <w:pPr>
        <w:ind w:firstLine="1134"/>
        <w:jc w:val="both"/>
        <w:rPr>
          <w:rFonts w:ascii="Arial" w:hAnsi="Arial" w:cs="Arial"/>
          <w:sz w:val="32"/>
          <w:szCs w:val="32"/>
        </w:rPr>
      </w:pPr>
    </w:p>
    <w:p w14:paraId="58BF58F8" w14:textId="77777777" w:rsidR="00096E29" w:rsidRPr="009277F7" w:rsidRDefault="00303E17" w:rsidP="00D85034">
      <w:pPr>
        <w:jc w:val="both"/>
        <w:rPr>
          <w:rFonts w:ascii="Arial" w:hAnsi="Arial" w:cs="Arial"/>
          <w:b/>
          <w:sz w:val="32"/>
          <w:szCs w:val="32"/>
        </w:rPr>
      </w:pPr>
      <w:bookmarkStart w:id="3" w:name="_Hlk109894443"/>
      <w:r>
        <w:rPr>
          <w:rFonts w:ascii="Arial" w:hAnsi="Arial" w:cs="Arial"/>
          <w:b/>
          <w:sz w:val="32"/>
          <w:szCs w:val="32"/>
        </w:rPr>
        <w:t>2.2</w:t>
      </w:r>
      <w:r w:rsidR="009664AD" w:rsidRPr="009277F7">
        <w:rPr>
          <w:rFonts w:ascii="Arial" w:hAnsi="Arial" w:cs="Arial"/>
          <w:b/>
          <w:sz w:val="32"/>
          <w:szCs w:val="32"/>
        </w:rPr>
        <w:t xml:space="preserve">. Demonstração da conexão do objeto dos serviços de modernização e manutenção semafórica com os serviços de iluminação pública objeto da PPP. </w:t>
      </w:r>
    </w:p>
    <w:bookmarkEnd w:id="3"/>
    <w:p w14:paraId="3FC51183" w14:textId="77777777" w:rsidR="009664AD" w:rsidRPr="009277F7" w:rsidRDefault="009664AD" w:rsidP="00D85034">
      <w:pPr>
        <w:jc w:val="both"/>
        <w:rPr>
          <w:rFonts w:ascii="Arial" w:hAnsi="Arial" w:cs="Arial"/>
          <w:b/>
          <w:sz w:val="32"/>
          <w:szCs w:val="32"/>
        </w:rPr>
      </w:pPr>
    </w:p>
    <w:p w14:paraId="063DAC41" w14:textId="50CC583F" w:rsidR="00BF4B69" w:rsidRPr="009277F7" w:rsidRDefault="00BF4B69" w:rsidP="00BF4B69">
      <w:pPr>
        <w:ind w:firstLine="1134"/>
        <w:jc w:val="both"/>
        <w:rPr>
          <w:rFonts w:ascii="Arial" w:hAnsi="Arial" w:cs="Arial"/>
          <w:sz w:val="32"/>
          <w:szCs w:val="32"/>
        </w:rPr>
      </w:pPr>
      <w:r w:rsidRPr="009277F7">
        <w:rPr>
          <w:rFonts w:ascii="Arial" w:hAnsi="Arial" w:cs="Arial"/>
          <w:sz w:val="32"/>
          <w:szCs w:val="32"/>
        </w:rPr>
        <w:t>Inicialmente</w:t>
      </w:r>
      <w:r w:rsidR="00735B2D">
        <w:rPr>
          <w:rFonts w:ascii="Arial" w:hAnsi="Arial" w:cs="Arial"/>
          <w:sz w:val="32"/>
          <w:szCs w:val="32"/>
        </w:rPr>
        <w:t>,</w:t>
      </w:r>
      <w:r w:rsidRPr="009277F7">
        <w:rPr>
          <w:rFonts w:ascii="Arial" w:hAnsi="Arial" w:cs="Arial"/>
          <w:sz w:val="32"/>
          <w:szCs w:val="32"/>
        </w:rPr>
        <w:t xml:space="preserve"> cumpre consignar que o impulso para incluir os serviços de modernização e conservação do atual parque semafórico no contrato de iluminação teve por iniciativa a indicação de conexão entre os objetos somados a questões econômicas (melhor tratada adiante) com o fito de antecipar investimentos que</w:t>
      </w:r>
      <w:r w:rsidR="00ED2740">
        <w:rPr>
          <w:rFonts w:ascii="Arial" w:hAnsi="Arial" w:cs="Arial"/>
          <w:sz w:val="32"/>
          <w:szCs w:val="32"/>
        </w:rPr>
        <w:t>,</w:t>
      </w:r>
      <w:r w:rsidRPr="009277F7">
        <w:rPr>
          <w:rFonts w:ascii="Arial" w:hAnsi="Arial" w:cs="Arial"/>
          <w:sz w:val="32"/>
          <w:szCs w:val="32"/>
        </w:rPr>
        <w:t xml:space="preserve"> por ora</w:t>
      </w:r>
      <w:r w:rsidR="00ED2740">
        <w:rPr>
          <w:rFonts w:ascii="Arial" w:hAnsi="Arial" w:cs="Arial"/>
          <w:sz w:val="32"/>
          <w:szCs w:val="32"/>
        </w:rPr>
        <w:t>,</w:t>
      </w:r>
      <w:r w:rsidRPr="009277F7">
        <w:rPr>
          <w:rFonts w:ascii="Arial" w:hAnsi="Arial" w:cs="Arial"/>
          <w:sz w:val="32"/>
          <w:szCs w:val="32"/>
        </w:rPr>
        <w:t xml:space="preserve"> não estariam ao alcance da municipalidade. Ainda, em razão do atual parque semafórico possuir uma estrutura que foi implementada na década de </w:t>
      </w:r>
      <w:r w:rsidR="00ED2740">
        <w:rPr>
          <w:rFonts w:ascii="Arial" w:hAnsi="Arial" w:cs="Arial"/>
          <w:sz w:val="32"/>
          <w:szCs w:val="32"/>
        </w:rPr>
        <w:t>19</w:t>
      </w:r>
      <w:r w:rsidRPr="009277F7">
        <w:rPr>
          <w:rFonts w:ascii="Arial" w:hAnsi="Arial" w:cs="Arial"/>
          <w:sz w:val="32"/>
          <w:szCs w:val="32"/>
        </w:rPr>
        <w:t xml:space="preserve">90, com aparelhos datados do ano de 1980, ou seja, necessária a atualização do parque para somar as tecnologias hoje implementadas pela concessionária </w:t>
      </w:r>
      <w:r w:rsidR="00470385">
        <w:rPr>
          <w:rFonts w:ascii="Arial" w:hAnsi="Arial" w:cs="Arial"/>
          <w:sz w:val="32"/>
          <w:szCs w:val="32"/>
        </w:rPr>
        <w:t>que</w:t>
      </w:r>
      <w:r w:rsidRPr="009277F7">
        <w:rPr>
          <w:rFonts w:ascii="Arial" w:hAnsi="Arial" w:cs="Arial"/>
          <w:sz w:val="32"/>
          <w:szCs w:val="32"/>
        </w:rPr>
        <w:t xml:space="preserve"> administra a iluminação pública da cidade de São Paulo.</w:t>
      </w:r>
    </w:p>
    <w:p w14:paraId="0705EF0A" w14:textId="3C6D1F5D" w:rsidR="00BF4B69" w:rsidRPr="009277F7" w:rsidRDefault="00BF4B69" w:rsidP="00BF4B69">
      <w:pPr>
        <w:ind w:firstLine="1134"/>
        <w:jc w:val="both"/>
        <w:rPr>
          <w:rFonts w:ascii="Arial" w:hAnsi="Arial" w:cs="Arial"/>
          <w:sz w:val="32"/>
          <w:szCs w:val="32"/>
        </w:rPr>
      </w:pPr>
      <w:r w:rsidRPr="009277F7">
        <w:rPr>
          <w:rFonts w:ascii="Arial" w:hAnsi="Arial" w:cs="Arial"/>
          <w:sz w:val="32"/>
          <w:szCs w:val="32"/>
        </w:rPr>
        <w:t>A Origem destacou a presença de dois estudos técnicos que demonstra</w:t>
      </w:r>
      <w:r w:rsidR="00470385">
        <w:rPr>
          <w:rFonts w:ascii="Arial" w:hAnsi="Arial" w:cs="Arial"/>
          <w:sz w:val="32"/>
          <w:szCs w:val="32"/>
        </w:rPr>
        <w:t>m</w:t>
      </w:r>
      <w:r w:rsidRPr="009277F7">
        <w:rPr>
          <w:rFonts w:ascii="Arial" w:hAnsi="Arial" w:cs="Arial"/>
          <w:sz w:val="32"/>
          <w:szCs w:val="32"/>
        </w:rPr>
        <w:t xml:space="preserve"> a conexão dos serviços</w:t>
      </w:r>
      <w:r w:rsidR="00937BD1">
        <w:rPr>
          <w:rFonts w:ascii="Arial" w:hAnsi="Arial" w:cs="Arial"/>
          <w:sz w:val="32"/>
          <w:szCs w:val="32"/>
        </w:rPr>
        <w:t xml:space="preserve">: </w:t>
      </w:r>
      <w:r w:rsidRPr="009277F7">
        <w:rPr>
          <w:rFonts w:ascii="Arial" w:hAnsi="Arial" w:cs="Arial"/>
          <w:sz w:val="32"/>
          <w:szCs w:val="32"/>
        </w:rPr>
        <w:t xml:space="preserve">um de lavra do engenheiro Dalmar Vitor Vinciprova Faria Netto e </w:t>
      </w:r>
      <w:r w:rsidRPr="009277F7">
        <w:rPr>
          <w:rFonts w:ascii="Arial" w:hAnsi="Arial" w:cs="Arial"/>
          <w:sz w:val="32"/>
          <w:szCs w:val="32"/>
        </w:rPr>
        <w:lastRenderedPageBreak/>
        <w:t>outro mediante nota técnica da Companhia de Engenharia de Tráfego – CET, cujo trecho ressaltamos abaixo:</w:t>
      </w:r>
    </w:p>
    <w:p w14:paraId="09B019AB" w14:textId="77777777" w:rsidR="00BF4B69" w:rsidRPr="009277F7" w:rsidRDefault="00BF4B69" w:rsidP="00BF4B69">
      <w:pPr>
        <w:ind w:left="1134"/>
        <w:jc w:val="both"/>
        <w:rPr>
          <w:rFonts w:ascii="Arial" w:hAnsi="Arial" w:cs="Arial"/>
          <w:i/>
          <w:sz w:val="32"/>
          <w:szCs w:val="32"/>
        </w:rPr>
      </w:pPr>
    </w:p>
    <w:p w14:paraId="43D57017" w14:textId="77777777" w:rsidR="00BF4B69" w:rsidRPr="009277F7" w:rsidRDefault="00BF4B69" w:rsidP="00BF4B69">
      <w:pPr>
        <w:ind w:left="1134"/>
        <w:jc w:val="both"/>
        <w:rPr>
          <w:rFonts w:ascii="Arial" w:hAnsi="Arial" w:cs="Arial"/>
          <w:i/>
          <w:sz w:val="32"/>
          <w:szCs w:val="32"/>
        </w:rPr>
      </w:pPr>
      <w:r w:rsidRPr="009277F7">
        <w:rPr>
          <w:rFonts w:ascii="Arial" w:hAnsi="Arial" w:cs="Arial"/>
          <w:i/>
          <w:sz w:val="32"/>
          <w:szCs w:val="32"/>
        </w:rPr>
        <w:t>Nesta nota técnica será considerada sinergia o efeito resultante da ação de vários agentes que atuam de forma coordenada para um objetivo comum gerando um efeito superior ao da atuação individual desses agentes. De modo sintético, é uma união de elementos cujo resultado é maior do que a simples soma das partes envolvidas. Em que pese a legislação vigente (Lei n° 17.731/2022) permitir a associação dos serviços, esta não determina qualquer proporcionalidade de sinergia dos serviços, ficando este equilíbrio sob admissão de quaisquer variantes que a Administração Municipal julgar ideal.</w:t>
      </w:r>
    </w:p>
    <w:p w14:paraId="6E39FA52" w14:textId="77777777" w:rsidR="00BF4B69" w:rsidRPr="009277F7" w:rsidRDefault="00BF4B69" w:rsidP="00BF4B69">
      <w:pPr>
        <w:ind w:left="1134"/>
        <w:jc w:val="both"/>
        <w:rPr>
          <w:rFonts w:ascii="Arial" w:hAnsi="Arial" w:cs="Arial"/>
          <w:i/>
          <w:sz w:val="32"/>
          <w:szCs w:val="32"/>
        </w:rPr>
      </w:pPr>
      <w:r w:rsidRPr="009277F7">
        <w:rPr>
          <w:rFonts w:ascii="Arial" w:hAnsi="Arial" w:cs="Arial"/>
          <w:i/>
          <w:sz w:val="32"/>
          <w:szCs w:val="32"/>
        </w:rPr>
        <w:t>A citada sinergia técnica entre os serviços que se apresentam envereda para a especificidade das profusas áreas da engenharia que efetivamente assumirão papel de grande relevância na execução dos serviços identificados. Dentro da rica área da engenharia, podemos expressar, de forma imperativa, que há disciplinas e conceitos de caráter totalmente distintos bem como de ampla conexão ou até mesmo interdependentes.</w:t>
      </w:r>
    </w:p>
    <w:p w14:paraId="4144FF12" w14:textId="77777777" w:rsidR="00BF4B69" w:rsidRPr="009277F7" w:rsidRDefault="00BF4B69" w:rsidP="00BF4B69">
      <w:pPr>
        <w:ind w:left="1134"/>
        <w:jc w:val="both"/>
        <w:rPr>
          <w:rFonts w:ascii="Arial" w:hAnsi="Arial" w:cs="Arial"/>
          <w:i/>
          <w:sz w:val="32"/>
          <w:szCs w:val="32"/>
        </w:rPr>
      </w:pPr>
      <w:r w:rsidRPr="009277F7">
        <w:rPr>
          <w:rFonts w:ascii="Arial" w:hAnsi="Arial" w:cs="Arial"/>
          <w:i/>
          <w:sz w:val="32"/>
          <w:szCs w:val="32"/>
        </w:rPr>
        <w:t>No caso dos serviços de modernização, manutenção e expansão da rede iluminação pública e de substituição, modernização e manutenção da rede semafórica, estão envolvidas duas interdependentes áreas: a elétrica e a eletrônica.</w:t>
      </w:r>
    </w:p>
    <w:p w14:paraId="0EFA22F1" w14:textId="77777777" w:rsidR="00BF4B69" w:rsidRPr="009277F7" w:rsidRDefault="00BF4B69" w:rsidP="00BF4B69">
      <w:pPr>
        <w:ind w:left="1134"/>
        <w:jc w:val="both"/>
        <w:rPr>
          <w:rFonts w:ascii="Arial" w:hAnsi="Arial" w:cs="Arial"/>
          <w:i/>
          <w:sz w:val="32"/>
          <w:szCs w:val="32"/>
        </w:rPr>
      </w:pPr>
      <w:r w:rsidRPr="009277F7">
        <w:rPr>
          <w:rFonts w:ascii="Arial" w:hAnsi="Arial" w:cs="Arial"/>
          <w:i/>
          <w:sz w:val="32"/>
          <w:szCs w:val="32"/>
        </w:rPr>
        <w:t xml:space="preserve">Importante destacar que a uniformização e padronização da “Sinalização Semafórica” está disciplinada no Manual Brasileiro de Sinalização de </w:t>
      </w:r>
      <w:r w:rsidRPr="009277F7">
        <w:rPr>
          <w:rFonts w:ascii="Arial" w:hAnsi="Arial" w:cs="Arial"/>
          <w:i/>
          <w:sz w:val="32"/>
          <w:szCs w:val="32"/>
        </w:rPr>
        <w:lastRenderedPageBreak/>
        <w:t>Trânsito - MBST –Volume V – Sinalização semafórica, aprovado pela Resolução CONTRAN n.º 483/2014, bem como no Manual de sinalização Urbana da Companhia de Engenharia de Tráfego de São Paulo – CET.</w:t>
      </w:r>
    </w:p>
    <w:p w14:paraId="2D1B4361" w14:textId="77777777" w:rsidR="00BF4B69" w:rsidRPr="009277F7" w:rsidRDefault="00BF4B69" w:rsidP="00BF4B69">
      <w:pPr>
        <w:ind w:left="1134"/>
        <w:jc w:val="both"/>
        <w:rPr>
          <w:rFonts w:ascii="Arial" w:hAnsi="Arial" w:cs="Arial"/>
          <w:i/>
          <w:sz w:val="32"/>
          <w:szCs w:val="32"/>
        </w:rPr>
      </w:pPr>
      <w:r w:rsidRPr="009277F7">
        <w:rPr>
          <w:rFonts w:ascii="Arial" w:hAnsi="Arial" w:cs="Arial"/>
          <w:i/>
          <w:sz w:val="32"/>
          <w:szCs w:val="32"/>
        </w:rPr>
        <w:t>Conforme disposições contidas no Anexo II do CTB e Resolução CONTRAN 483/2014, a sinalização semafórica está assim definida (grifos nossos):</w:t>
      </w:r>
    </w:p>
    <w:p w14:paraId="09F4B330" w14:textId="77777777" w:rsidR="00BF4B69" w:rsidRPr="009277F7" w:rsidRDefault="00BF4B69" w:rsidP="00BF4B69">
      <w:pPr>
        <w:ind w:left="1134"/>
        <w:jc w:val="both"/>
        <w:rPr>
          <w:rFonts w:ascii="Arial" w:hAnsi="Arial" w:cs="Arial"/>
          <w:i/>
          <w:sz w:val="32"/>
          <w:szCs w:val="32"/>
        </w:rPr>
      </w:pPr>
      <w:r w:rsidRPr="009277F7">
        <w:rPr>
          <w:rFonts w:ascii="Arial" w:hAnsi="Arial" w:cs="Arial"/>
          <w:i/>
          <w:sz w:val="32"/>
          <w:szCs w:val="32"/>
        </w:rPr>
        <w:t>“A Sinalização semafórica é um subsistema da sinalização viária que se compõe de indicações luminosas acionadas alternada ou intermitentemente, por meio de sistema elétrico/eletrônico, cuja função é controlar os deslocamentos. Tem a finalidade de transmitir diferentes mensagens aos usuários da via pública, regulamentando o direito de passagem ou advertindo sobre situações especiais nas vias.”</w:t>
      </w:r>
    </w:p>
    <w:p w14:paraId="0B8AEED7" w14:textId="77777777" w:rsidR="00BF4B69" w:rsidRPr="009277F7" w:rsidRDefault="00BF4B69" w:rsidP="00BF4B69">
      <w:pPr>
        <w:ind w:left="1134"/>
        <w:jc w:val="both"/>
        <w:rPr>
          <w:rFonts w:ascii="Arial" w:hAnsi="Arial" w:cs="Arial"/>
          <w:i/>
          <w:sz w:val="32"/>
          <w:szCs w:val="32"/>
        </w:rPr>
      </w:pPr>
      <w:r w:rsidRPr="009277F7">
        <w:rPr>
          <w:rFonts w:ascii="Arial" w:hAnsi="Arial" w:cs="Arial"/>
          <w:i/>
          <w:sz w:val="32"/>
          <w:szCs w:val="32"/>
        </w:rPr>
        <w:t>De maneira geral, as matérias de elétrica e eletrônica se norteiam pelo uso da energia elétrica e circuitos eletrônicos para o desenvolvimento e criação de produtos de emprego e aplicações diárias. Contudo, o profissional eletricista se dedica às redes elétricas e circuitos, à automação na criação de componentes para diversas aplicações e na projeção de usinas de produção de energia e hidrelétricas. Já o profissional eletrônico cuida de equipamentos mais delicados, de pequenas amplitudes e frequências elevadas, considerados de baixa tensão, voltada para a projeção dos aparelhos eletrônicos e o seu processo de manutenção.</w:t>
      </w:r>
    </w:p>
    <w:p w14:paraId="6BF95CA2" w14:textId="77777777" w:rsidR="00BF4B69" w:rsidRPr="009277F7" w:rsidRDefault="00BF4B69" w:rsidP="00BF4B69">
      <w:pPr>
        <w:ind w:left="1134"/>
        <w:jc w:val="both"/>
        <w:rPr>
          <w:rFonts w:ascii="Arial" w:hAnsi="Arial" w:cs="Arial"/>
          <w:i/>
          <w:sz w:val="32"/>
          <w:szCs w:val="32"/>
        </w:rPr>
      </w:pPr>
      <w:r w:rsidRPr="009277F7">
        <w:rPr>
          <w:rFonts w:ascii="Arial" w:hAnsi="Arial" w:cs="Arial"/>
          <w:i/>
          <w:sz w:val="32"/>
          <w:szCs w:val="32"/>
        </w:rPr>
        <w:t xml:space="preserve">Acrescido à análise, podemos afirmar que nos serviços que se apresentam são ofertas de mesma </w:t>
      </w:r>
      <w:r w:rsidRPr="009277F7">
        <w:rPr>
          <w:rFonts w:ascii="Arial" w:hAnsi="Arial" w:cs="Arial"/>
          <w:i/>
          <w:sz w:val="32"/>
          <w:szCs w:val="32"/>
        </w:rPr>
        <w:lastRenderedPageBreak/>
        <w:t xml:space="preserve">similaridade, </w:t>
      </w:r>
      <w:r w:rsidRPr="00CF310B">
        <w:rPr>
          <w:rFonts w:ascii="Arial" w:hAnsi="Arial" w:cs="Arial"/>
          <w:b/>
          <w:bCs/>
          <w:i/>
          <w:sz w:val="32"/>
          <w:szCs w:val="32"/>
        </w:rPr>
        <w:t>sobretudo no tocante às atividades de energização.</w:t>
      </w:r>
    </w:p>
    <w:p w14:paraId="5863AB56" w14:textId="77777777" w:rsidR="00BF4B69" w:rsidRPr="009277F7" w:rsidRDefault="00BF4B69" w:rsidP="00BF4B69">
      <w:pPr>
        <w:ind w:left="1134"/>
        <w:jc w:val="both"/>
        <w:rPr>
          <w:rFonts w:ascii="Arial" w:hAnsi="Arial" w:cs="Arial"/>
          <w:i/>
          <w:sz w:val="32"/>
          <w:szCs w:val="32"/>
        </w:rPr>
      </w:pPr>
      <w:r w:rsidRPr="009277F7">
        <w:rPr>
          <w:rFonts w:ascii="Arial" w:hAnsi="Arial" w:cs="Arial"/>
          <w:i/>
          <w:sz w:val="32"/>
          <w:szCs w:val="32"/>
        </w:rPr>
        <w:t>[...]</w:t>
      </w:r>
    </w:p>
    <w:p w14:paraId="02B0DF15" w14:textId="77777777" w:rsidR="00BF4B69" w:rsidRPr="009277F7" w:rsidRDefault="00BF4B69" w:rsidP="00BF4B69">
      <w:pPr>
        <w:ind w:left="1134"/>
        <w:jc w:val="both"/>
        <w:rPr>
          <w:rFonts w:ascii="Arial" w:hAnsi="Arial" w:cs="Arial"/>
          <w:i/>
          <w:sz w:val="32"/>
          <w:szCs w:val="32"/>
        </w:rPr>
      </w:pPr>
      <w:r w:rsidRPr="009277F7">
        <w:rPr>
          <w:rFonts w:ascii="Arial" w:hAnsi="Arial" w:cs="Arial"/>
          <w:i/>
          <w:sz w:val="32"/>
          <w:szCs w:val="32"/>
        </w:rPr>
        <w:t>De outro giro, destacamos que a proporção de aplicabilidade das cátedras elétrica e eletrônica no caso que se apresenta, igualmente fica atrelada à mensuração do dispêndio dos recursos financeiros aos modais de intervenções que se fazem necessárias para a recomposição adequada da prestação dos serviços contratados.</w:t>
      </w:r>
    </w:p>
    <w:p w14:paraId="566ADE20" w14:textId="77777777" w:rsidR="00BF4B69" w:rsidRPr="009277F7" w:rsidRDefault="00BF4B69" w:rsidP="00BF4B69">
      <w:pPr>
        <w:ind w:left="1134"/>
        <w:jc w:val="both"/>
        <w:rPr>
          <w:rFonts w:ascii="Arial" w:hAnsi="Arial" w:cs="Arial"/>
          <w:i/>
          <w:sz w:val="32"/>
          <w:szCs w:val="32"/>
        </w:rPr>
      </w:pPr>
      <w:r w:rsidRPr="009277F7">
        <w:rPr>
          <w:rFonts w:ascii="Arial" w:hAnsi="Arial" w:cs="Arial"/>
          <w:i/>
          <w:sz w:val="32"/>
          <w:szCs w:val="32"/>
        </w:rPr>
        <w:t xml:space="preserve">Vale ressaltar que atualmente um dos grandes desafios combatidos pela Administração Municipal advém do furto de cabos que energizam os pontos de iluminação e o parque semafórico da malha viária. Em similitude de alocação de riscos, caso a Administração opte em associar os serviços de manutenção da rede semafórica ao contrato atual de iluminação pública, </w:t>
      </w:r>
      <w:r w:rsidRPr="009277F7">
        <w:rPr>
          <w:rFonts w:ascii="Arial" w:hAnsi="Arial" w:cs="Arial"/>
          <w:b/>
          <w:i/>
          <w:sz w:val="32"/>
          <w:szCs w:val="32"/>
        </w:rPr>
        <w:t>nos é consentido estimar uma economia ao erário</w:t>
      </w:r>
      <w:r w:rsidRPr="009277F7">
        <w:rPr>
          <w:rFonts w:ascii="Arial" w:hAnsi="Arial" w:cs="Arial"/>
          <w:i/>
          <w:sz w:val="32"/>
          <w:szCs w:val="32"/>
        </w:rPr>
        <w:t xml:space="preserve">, confrontado ao modelo presente de contratação dos serviços de manutenção do Parque Semafórico, em virtude da assunção de riscos externos – e.g </w:t>
      </w:r>
      <w:r w:rsidRPr="009277F7">
        <w:rPr>
          <w:rFonts w:ascii="Arial" w:hAnsi="Arial" w:cs="Arial"/>
          <w:sz w:val="32"/>
          <w:szCs w:val="32"/>
        </w:rPr>
        <w:t>(por exemplo).</w:t>
      </w:r>
      <w:r w:rsidRPr="009277F7">
        <w:rPr>
          <w:rFonts w:ascii="Arial" w:hAnsi="Arial" w:cs="Arial"/>
          <w:i/>
          <w:sz w:val="32"/>
          <w:szCs w:val="32"/>
        </w:rPr>
        <w:t xml:space="preserve"> furtos – pela concessionária de serviços públicos.</w:t>
      </w:r>
    </w:p>
    <w:p w14:paraId="5CD865FD" w14:textId="77777777" w:rsidR="00BF4B69" w:rsidRPr="009277F7" w:rsidRDefault="00BF4B69" w:rsidP="00BF4B69">
      <w:pPr>
        <w:ind w:left="1134"/>
        <w:jc w:val="both"/>
        <w:rPr>
          <w:rFonts w:ascii="Arial" w:hAnsi="Arial" w:cs="Arial"/>
          <w:i/>
          <w:sz w:val="32"/>
          <w:szCs w:val="32"/>
        </w:rPr>
      </w:pPr>
      <w:r w:rsidRPr="009277F7">
        <w:rPr>
          <w:rFonts w:ascii="Arial" w:hAnsi="Arial" w:cs="Arial"/>
          <w:i/>
          <w:sz w:val="32"/>
          <w:szCs w:val="32"/>
        </w:rPr>
        <w:t>Por fim, é importante destacar a sinergia operacional. Os serviços de manutenção, seja preventiva, seja corretiva, tem indiscutível conexão. Tanto a manutenção da rede de iluminação pública quanto a da rede semafórica exigem o deslocamento físico de equipes técnicas contendo pessoas habilitadas a prestar serviços de elétrica; planejamento desse deslocamento; e, muitas vezes, o uso de caminhões com equipamento apropriado para elevação.</w:t>
      </w:r>
    </w:p>
    <w:p w14:paraId="74CD8F1F" w14:textId="77777777" w:rsidR="00BF4B69" w:rsidRPr="009277F7" w:rsidRDefault="00BF4B69" w:rsidP="00BF4B69">
      <w:pPr>
        <w:ind w:left="1134"/>
        <w:jc w:val="both"/>
        <w:rPr>
          <w:rFonts w:ascii="Arial" w:hAnsi="Arial" w:cs="Arial"/>
          <w:i/>
          <w:sz w:val="32"/>
          <w:szCs w:val="32"/>
        </w:rPr>
      </w:pPr>
      <w:r w:rsidRPr="009277F7">
        <w:rPr>
          <w:rFonts w:ascii="Arial" w:hAnsi="Arial" w:cs="Arial"/>
          <w:i/>
          <w:sz w:val="32"/>
          <w:szCs w:val="32"/>
        </w:rPr>
        <w:lastRenderedPageBreak/>
        <w:t>Logo, concluímos haver indiscutível sinergia dos serviços ora contratados de Modernização, Otimização, Expansão, Operação, Manutenção e Controle Remoto em Tempo Real da Infraestrutura da Rede de Iluminação Pública do Município de São Paulo com os Serviços de Modernização e Manutenção dos Sistemas de Controle Semafórico da Cidade de São Paulo.</w:t>
      </w:r>
    </w:p>
    <w:p w14:paraId="0CF88DE7" w14:textId="77777777" w:rsidR="00BF4B69" w:rsidRPr="009277F7" w:rsidRDefault="00BF4B69" w:rsidP="00BF4B69">
      <w:pPr>
        <w:jc w:val="both"/>
        <w:rPr>
          <w:rFonts w:ascii="Arial" w:hAnsi="Arial" w:cs="Arial"/>
          <w:sz w:val="32"/>
          <w:szCs w:val="32"/>
        </w:rPr>
      </w:pPr>
    </w:p>
    <w:p w14:paraId="3668914A" w14:textId="3E957980" w:rsidR="00BF4B69" w:rsidRPr="009277F7" w:rsidRDefault="00BF4B69" w:rsidP="00BF4B69">
      <w:pPr>
        <w:ind w:firstLine="1134"/>
        <w:jc w:val="both"/>
        <w:rPr>
          <w:rFonts w:ascii="Arial" w:hAnsi="Arial" w:cs="Arial"/>
          <w:sz w:val="32"/>
          <w:szCs w:val="32"/>
        </w:rPr>
      </w:pPr>
      <w:r w:rsidRPr="009277F7">
        <w:rPr>
          <w:rFonts w:ascii="Arial" w:hAnsi="Arial" w:cs="Arial"/>
          <w:sz w:val="32"/>
          <w:szCs w:val="32"/>
        </w:rPr>
        <w:t>Em continuidade</w:t>
      </w:r>
      <w:r w:rsidR="0042380E">
        <w:rPr>
          <w:rFonts w:ascii="Arial" w:hAnsi="Arial" w:cs="Arial"/>
          <w:sz w:val="32"/>
          <w:szCs w:val="32"/>
        </w:rPr>
        <w:t>,</w:t>
      </w:r>
      <w:r w:rsidRPr="009277F7">
        <w:rPr>
          <w:rFonts w:ascii="Arial" w:hAnsi="Arial" w:cs="Arial"/>
          <w:sz w:val="32"/>
          <w:szCs w:val="32"/>
        </w:rPr>
        <w:t xml:space="preserve"> apresent</w:t>
      </w:r>
      <w:r w:rsidR="00470385">
        <w:rPr>
          <w:rFonts w:ascii="Arial" w:hAnsi="Arial" w:cs="Arial"/>
          <w:sz w:val="32"/>
          <w:szCs w:val="32"/>
        </w:rPr>
        <w:t>o</w:t>
      </w:r>
      <w:r w:rsidRPr="009277F7">
        <w:rPr>
          <w:rFonts w:ascii="Arial" w:hAnsi="Arial" w:cs="Arial"/>
          <w:sz w:val="32"/>
          <w:szCs w:val="32"/>
        </w:rPr>
        <w:t xml:space="preserve"> trecho da nota técnica de lavra da SP Parcerias, em que</w:t>
      </w:r>
      <w:r w:rsidR="00E500F7">
        <w:rPr>
          <w:rFonts w:ascii="Arial" w:hAnsi="Arial" w:cs="Arial"/>
          <w:sz w:val="32"/>
          <w:szCs w:val="32"/>
        </w:rPr>
        <w:t xml:space="preserve"> se</w:t>
      </w:r>
      <w:r w:rsidRPr="009277F7">
        <w:rPr>
          <w:rFonts w:ascii="Arial" w:hAnsi="Arial" w:cs="Arial"/>
          <w:sz w:val="32"/>
          <w:szCs w:val="32"/>
        </w:rPr>
        <w:t xml:space="preserve"> demonstra a</w:t>
      </w:r>
      <w:r w:rsidR="00E500F7">
        <w:rPr>
          <w:rFonts w:ascii="Arial" w:hAnsi="Arial" w:cs="Arial"/>
          <w:sz w:val="32"/>
          <w:szCs w:val="32"/>
        </w:rPr>
        <w:t xml:space="preserve"> existência de</w:t>
      </w:r>
      <w:r w:rsidRPr="009277F7">
        <w:rPr>
          <w:rFonts w:ascii="Arial" w:hAnsi="Arial" w:cs="Arial"/>
          <w:sz w:val="32"/>
          <w:szCs w:val="32"/>
        </w:rPr>
        <w:t xml:space="preserve"> sinergia entre os objetos:</w:t>
      </w:r>
    </w:p>
    <w:p w14:paraId="649A8A77" w14:textId="77777777" w:rsidR="00BF4B69" w:rsidRPr="009277F7" w:rsidRDefault="00BF4B69" w:rsidP="00BF4B69">
      <w:pPr>
        <w:jc w:val="both"/>
        <w:rPr>
          <w:rFonts w:ascii="Arial" w:hAnsi="Arial" w:cs="Arial"/>
          <w:sz w:val="32"/>
          <w:szCs w:val="32"/>
        </w:rPr>
      </w:pPr>
    </w:p>
    <w:p w14:paraId="17BED51E" w14:textId="77777777" w:rsidR="00BF4B69" w:rsidRPr="009277F7" w:rsidRDefault="00BF4B69" w:rsidP="00BF4B69">
      <w:pPr>
        <w:ind w:left="1134"/>
        <w:jc w:val="both"/>
        <w:rPr>
          <w:rFonts w:ascii="Arial" w:hAnsi="Arial" w:cs="Arial"/>
          <w:i/>
          <w:sz w:val="32"/>
          <w:szCs w:val="32"/>
        </w:rPr>
      </w:pPr>
      <w:r w:rsidRPr="00807DF8">
        <w:rPr>
          <w:rFonts w:ascii="Arial" w:hAnsi="Arial" w:cs="Arial"/>
          <w:i/>
          <w:sz w:val="32"/>
          <w:szCs w:val="32"/>
        </w:rPr>
        <w:t>Ressalta-se que, embora a concessionária não tenha apresentado indicativos explícitos de sinergia na modernização e na futura operação, o fato de sua operação ser 21,4% a 28,6% mais barata (VfM – Valeu for Money) indica a existência implícita de sinergias, sejam elas operacionais ou tributárias.</w:t>
      </w:r>
      <w:r w:rsidRPr="009277F7">
        <w:rPr>
          <w:rFonts w:ascii="Arial" w:hAnsi="Arial" w:cs="Arial"/>
          <w:i/>
          <w:sz w:val="32"/>
          <w:szCs w:val="32"/>
        </w:rPr>
        <w:t xml:space="preserve"> Nesse sentido, ressalva-se que a vantajosidade destacada depende fundamentalmente da manutenção e implementação dos equipamentos semafóricos com reinvestimento, da compra das câmeras de detecção, do custeamento da energia elétrica, da incorporação dos riscos de vandalismo e furto, dentre outros aspectos técnicos e parâmetros apresentados ao longo desta Nota Técnica.</w:t>
      </w:r>
    </w:p>
    <w:p w14:paraId="0F02AA3B" w14:textId="77777777" w:rsidR="00BF4B69" w:rsidRPr="009277F7" w:rsidRDefault="00BF4B69" w:rsidP="00BF4B69">
      <w:pPr>
        <w:jc w:val="both"/>
        <w:rPr>
          <w:rFonts w:ascii="Arial" w:hAnsi="Arial" w:cs="Arial"/>
          <w:sz w:val="32"/>
          <w:szCs w:val="32"/>
        </w:rPr>
      </w:pPr>
    </w:p>
    <w:p w14:paraId="74495419" w14:textId="7F0B18D3" w:rsidR="00BF4B69" w:rsidRPr="009277F7" w:rsidRDefault="00BF4B69" w:rsidP="00BF4B69">
      <w:pPr>
        <w:ind w:firstLine="1134"/>
        <w:jc w:val="both"/>
        <w:rPr>
          <w:rFonts w:ascii="Arial" w:hAnsi="Arial" w:cs="Arial"/>
          <w:sz w:val="32"/>
          <w:szCs w:val="32"/>
        </w:rPr>
      </w:pPr>
      <w:r w:rsidRPr="009277F7">
        <w:rPr>
          <w:rFonts w:ascii="Arial" w:hAnsi="Arial" w:cs="Arial"/>
          <w:sz w:val="32"/>
          <w:szCs w:val="32"/>
        </w:rPr>
        <w:t>Desta forma, consubstanciado em ambas as manifestações</w:t>
      </w:r>
      <w:r w:rsidR="00BA7BC9">
        <w:rPr>
          <w:rFonts w:ascii="Arial" w:hAnsi="Arial" w:cs="Arial"/>
          <w:sz w:val="32"/>
          <w:szCs w:val="32"/>
        </w:rPr>
        <w:t>,</w:t>
      </w:r>
      <w:r w:rsidRPr="009277F7">
        <w:rPr>
          <w:rFonts w:ascii="Arial" w:hAnsi="Arial" w:cs="Arial"/>
          <w:sz w:val="32"/>
          <w:szCs w:val="32"/>
        </w:rPr>
        <w:t xml:space="preserve"> entendeu a Origem pela presença da sinergia entre os objetos </w:t>
      </w:r>
      <w:r w:rsidR="000829AC">
        <w:rPr>
          <w:rFonts w:ascii="Arial" w:hAnsi="Arial" w:cs="Arial"/>
          <w:sz w:val="32"/>
          <w:szCs w:val="32"/>
        </w:rPr>
        <w:t xml:space="preserve">e respondendo de forma </w:t>
      </w:r>
      <w:r w:rsidR="000829AC">
        <w:rPr>
          <w:rFonts w:ascii="Arial" w:hAnsi="Arial" w:cs="Arial"/>
          <w:sz w:val="32"/>
          <w:szCs w:val="32"/>
        </w:rPr>
        <w:lastRenderedPageBreak/>
        <w:t>fundamentada</w:t>
      </w:r>
      <w:r w:rsidRPr="009277F7">
        <w:rPr>
          <w:rFonts w:ascii="Arial" w:hAnsi="Arial" w:cs="Arial"/>
          <w:sz w:val="32"/>
          <w:szCs w:val="32"/>
        </w:rPr>
        <w:t xml:space="preserve"> o questionamento apresentado por esta </w:t>
      </w:r>
      <w:r w:rsidR="00BA7BC9">
        <w:rPr>
          <w:rFonts w:ascii="Arial" w:hAnsi="Arial" w:cs="Arial"/>
          <w:sz w:val="32"/>
          <w:szCs w:val="32"/>
        </w:rPr>
        <w:t>R</w:t>
      </w:r>
      <w:r w:rsidRPr="009277F7">
        <w:rPr>
          <w:rFonts w:ascii="Arial" w:hAnsi="Arial" w:cs="Arial"/>
          <w:sz w:val="32"/>
          <w:szCs w:val="32"/>
        </w:rPr>
        <w:t xml:space="preserve">elatoria. </w:t>
      </w:r>
    </w:p>
    <w:p w14:paraId="3C2C4BE7" w14:textId="2FA6E63B" w:rsidR="00BF4B69" w:rsidRPr="00EC64B6" w:rsidRDefault="00BF4B69" w:rsidP="00BF4B69">
      <w:pPr>
        <w:ind w:firstLine="1134"/>
        <w:jc w:val="both"/>
        <w:rPr>
          <w:rFonts w:ascii="Arial" w:hAnsi="Arial" w:cs="Arial"/>
          <w:sz w:val="32"/>
          <w:szCs w:val="32"/>
        </w:rPr>
      </w:pPr>
      <w:r w:rsidRPr="00EC64B6">
        <w:rPr>
          <w:rFonts w:ascii="Arial" w:hAnsi="Arial" w:cs="Arial"/>
          <w:sz w:val="32"/>
          <w:szCs w:val="32"/>
        </w:rPr>
        <w:t>A Subsecretaria de Fiscalização e Controle (SFC)</w:t>
      </w:r>
      <w:r w:rsidR="00BA7BC9" w:rsidRPr="00EC64B6">
        <w:rPr>
          <w:rFonts w:ascii="Arial" w:hAnsi="Arial" w:cs="Arial"/>
          <w:sz w:val="32"/>
          <w:szCs w:val="32"/>
        </w:rPr>
        <w:t>,</w:t>
      </w:r>
      <w:r w:rsidRPr="00EC64B6">
        <w:rPr>
          <w:rFonts w:ascii="Arial" w:hAnsi="Arial" w:cs="Arial"/>
          <w:sz w:val="32"/>
          <w:szCs w:val="32"/>
        </w:rPr>
        <w:t xml:space="preserve"> provocada a se manifestar sobre os elementos e a resposta apresentada pela Origem, entendeu pela negativa de sinergia entre os elementos e ausência de dados complementares que pudessem elucidar este ponto de correlação entre os serviços, com destaque</w:t>
      </w:r>
      <w:r w:rsidR="000829AC">
        <w:rPr>
          <w:rFonts w:ascii="Arial" w:hAnsi="Arial" w:cs="Arial"/>
          <w:sz w:val="32"/>
          <w:szCs w:val="32"/>
        </w:rPr>
        <w:t>,</w:t>
      </w:r>
      <w:r w:rsidR="000829AC">
        <w:rPr>
          <w:rFonts w:ascii="Arial" w:hAnsi="Arial" w:cs="Arial"/>
          <w:sz w:val="32"/>
          <w:szCs w:val="32"/>
        </w:rPr>
        <w:t xml:space="preserve"> em síntese</w:t>
      </w:r>
      <w:r w:rsidR="000829AC">
        <w:rPr>
          <w:rFonts w:ascii="Arial" w:hAnsi="Arial" w:cs="Arial"/>
          <w:sz w:val="32"/>
          <w:szCs w:val="32"/>
        </w:rPr>
        <w:t>, para as seguintes conclusões</w:t>
      </w:r>
      <w:r w:rsidRPr="00EC64B6">
        <w:rPr>
          <w:rFonts w:ascii="Arial" w:hAnsi="Arial" w:cs="Arial"/>
          <w:sz w:val="32"/>
          <w:szCs w:val="32"/>
        </w:rPr>
        <w:t>:</w:t>
      </w:r>
    </w:p>
    <w:p w14:paraId="0A68AA79" w14:textId="4708878A" w:rsidR="00BF4B69" w:rsidRPr="005109BC" w:rsidRDefault="00825558" w:rsidP="00CE21CF">
      <w:pPr>
        <w:ind w:left="567"/>
        <w:jc w:val="both"/>
        <w:rPr>
          <w:rFonts w:ascii="Arial" w:hAnsi="Arial" w:cs="Arial"/>
          <w:sz w:val="32"/>
          <w:szCs w:val="32"/>
        </w:rPr>
      </w:pPr>
      <w:r w:rsidRPr="005109BC">
        <w:rPr>
          <w:rFonts w:ascii="Arial" w:hAnsi="Arial" w:cs="Arial"/>
          <w:sz w:val="32"/>
          <w:szCs w:val="32"/>
        </w:rPr>
        <w:t xml:space="preserve">- </w:t>
      </w:r>
      <w:r w:rsidR="00BF4B69" w:rsidRPr="005109BC">
        <w:rPr>
          <w:rFonts w:ascii="Arial" w:hAnsi="Arial" w:cs="Arial"/>
          <w:sz w:val="32"/>
          <w:szCs w:val="32"/>
        </w:rPr>
        <w:t>a participação de engenheiros eletricistas e eletrônicos são exigidos em ambos os serviços, mas isso não presume que possam ser compartilhados</w:t>
      </w:r>
      <w:r w:rsidR="00F9412E" w:rsidRPr="005109BC">
        <w:rPr>
          <w:rFonts w:ascii="Arial" w:hAnsi="Arial" w:cs="Arial"/>
          <w:sz w:val="32"/>
          <w:szCs w:val="32"/>
        </w:rPr>
        <w:t>;</w:t>
      </w:r>
    </w:p>
    <w:p w14:paraId="509B6F20" w14:textId="3BEC5EF0" w:rsidR="00BF4B69" w:rsidRPr="005109BC" w:rsidRDefault="008915BF" w:rsidP="00CE21CF">
      <w:pPr>
        <w:ind w:left="567"/>
        <w:jc w:val="both"/>
        <w:rPr>
          <w:rFonts w:ascii="Arial" w:hAnsi="Arial" w:cs="Arial"/>
          <w:sz w:val="32"/>
          <w:szCs w:val="32"/>
        </w:rPr>
      </w:pPr>
      <w:r w:rsidRPr="005109BC">
        <w:rPr>
          <w:rFonts w:ascii="Arial" w:hAnsi="Arial" w:cs="Arial"/>
          <w:sz w:val="32"/>
          <w:szCs w:val="32"/>
        </w:rPr>
        <w:t>-</w:t>
      </w:r>
      <w:r w:rsidR="00BF4B69" w:rsidRPr="005109BC">
        <w:rPr>
          <w:rFonts w:ascii="Arial" w:hAnsi="Arial" w:cs="Arial"/>
          <w:sz w:val="32"/>
          <w:szCs w:val="32"/>
        </w:rPr>
        <w:t xml:space="preserve"> os materiais e serviços a serem compartilhados não demonstra</w:t>
      </w:r>
      <w:r w:rsidR="0003239D" w:rsidRPr="005109BC">
        <w:rPr>
          <w:rFonts w:ascii="Arial" w:hAnsi="Arial" w:cs="Arial"/>
          <w:sz w:val="32"/>
          <w:szCs w:val="32"/>
        </w:rPr>
        <w:t>m</w:t>
      </w:r>
      <w:r w:rsidR="00BF4B69" w:rsidRPr="005109BC">
        <w:rPr>
          <w:rFonts w:ascii="Arial" w:hAnsi="Arial" w:cs="Arial"/>
          <w:sz w:val="32"/>
          <w:szCs w:val="32"/>
        </w:rPr>
        <w:t xml:space="preserve"> grande grau de compatibilidade</w:t>
      </w:r>
      <w:r w:rsidR="00F9412E" w:rsidRPr="005109BC">
        <w:rPr>
          <w:rFonts w:ascii="Arial" w:hAnsi="Arial" w:cs="Arial"/>
          <w:sz w:val="32"/>
          <w:szCs w:val="32"/>
        </w:rPr>
        <w:t>;</w:t>
      </w:r>
    </w:p>
    <w:p w14:paraId="6B92786F" w14:textId="40557CC4" w:rsidR="00BF4B69" w:rsidRPr="005109BC" w:rsidRDefault="00C60671" w:rsidP="00CE21CF">
      <w:pPr>
        <w:ind w:left="567"/>
        <w:jc w:val="both"/>
        <w:rPr>
          <w:rFonts w:ascii="Arial" w:hAnsi="Arial" w:cs="Arial"/>
          <w:sz w:val="32"/>
          <w:szCs w:val="32"/>
        </w:rPr>
      </w:pPr>
      <w:r w:rsidRPr="005109BC">
        <w:rPr>
          <w:rFonts w:ascii="Arial" w:hAnsi="Arial" w:cs="Arial"/>
          <w:sz w:val="32"/>
          <w:szCs w:val="32"/>
        </w:rPr>
        <w:t xml:space="preserve">- ausência de </w:t>
      </w:r>
      <w:r w:rsidR="00BF4B69" w:rsidRPr="005109BC">
        <w:rPr>
          <w:rFonts w:ascii="Arial" w:hAnsi="Arial" w:cs="Arial"/>
          <w:sz w:val="32"/>
          <w:szCs w:val="32"/>
        </w:rPr>
        <w:t>sinergia entre as equipes de manutenção dos serviços</w:t>
      </w:r>
      <w:r w:rsidR="00F9412E" w:rsidRPr="005109BC">
        <w:rPr>
          <w:rFonts w:ascii="Arial" w:hAnsi="Arial" w:cs="Arial"/>
          <w:sz w:val="32"/>
          <w:szCs w:val="32"/>
        </w:rPr>
        <w:t>;</w:t>
      </w:r>
      <w:r w:rsidR="00BF4B69" w:rsidRPr="005109BC">
        <w:rPr>
          <w:rFonts w:ascii="Arial" w:hAnsi="Arial" w:cs="Arial"/>
          <w:sz w:val="32"/>
          <w:szCs w:val="32"/>
        </w:rPr>
        <w:t xml:space="preserve"> </w:t>
      </w:r>
    </w:p>
    <w:p w14:paraId="6D232BD7" w14:textId="3A6A71E6" w:rsidR="00BF4B69" w:rsidRPr="005109BC" w:rsidRDefault="00275E6B" w:rsidP="00CE21CF">
      <w:pPr>
        <w:ind w:left="567"/>
        <w:jc w:val="both"/>
        <w:rPr>
          <w:rFonts w:ascii="Arial" w:hAnsi="Arial" w:cs="Arial"/>
          <w:sz w:val="32"/>
          <w:szCs w:val="32"/>
        </w:rPr>
      </w:pPr>
      <w:r w:rsidRPr="005109BC">
        <w:rPr>
          <w:rFonts w:ascii="Arial" w:hAnsi="Arial" w:cs="Arial"/>
          <w:sz w:val="32"/>
          <w:szCs w:val="32"/>
        </w:rPr>
        <w:t>- in</w:t>
      </w:r>
      <w:r w:rsidR="00BF4B69" w:rsidRPr="005109BC">
        <w:rPr>
          <w:rFonts w:ascii="Arial" w:hAnsi="Arial" w:cs="Arial"/>
          <w:sz w:val="32"/>
          <w:szCs w:val="32"/>
        </w:rPr>
        <w:t>exist</w:t>
      </w:r>
      <w:r w:rsidRPr="005109BC">
        <w:rPr>
          <w:rFonts w:ascii="Arial" w:hAnsi="Arial" w:cs="Arial"/>
          <w:sz w:val="32"/>
          <w:szCs w:val="32"/>
        </w:rPr>
        <w:t>ência</w:t>
      </w:r>
      <w:r w:rsidR="00BF4B69" w:rsidRPr="005109BC">
        <w:rPr>
          <w:rFonts w:ascii="Arial" w:hAnsi="Arial" w:cs="Arial"/>
          <w:sz w:val="32"/>
          <w:szCs w:val="32"/>
        </w:rPr>
        <w:t xml:space="preserve"> </w:t>
      </w:r>
      <w:r w:rsidRPr="005109BC">
        <w:rPr>
          <w:rFonts w:ascii="Arial" w:hAnsi="Arial" w:cs="Arial"/>
          <w:sz w:val="32"/>
          <w:szCs w:val="32"/>
        </w:rPr>
        <w:t xml:space="preserve">de </w:t>
      </w:r>
      <w:r w:rsidR="00F9412E" w:rsidRPr="005109BC">
        <w:rPr>
          <w:rFonts w:ascii="Arial" w:hAnsi="Arial" w:cs="Arial"/>
          <w:sz w:val="32"/>
          <w:szCs w:val="32"/>
        </w:rPr>
        <w:t xml:space="preserve">demonstração </w:t>
      </w:r>
      <w:r w:rsidRPr="005109BC">
        <w:rPr>
          <w:rFonts w:ascii="Arial" w:hAnsi="Arial" w:cs="Arial"/>
          <w:sz w:val="32"/>
          <w:szCs w:val="32"/>
        </w:rPr>
        <w:t>de</w:t>
      </w:r>
      <w:r w:rsidR="00BF4B69" w:rsidRPr="005109BC">
        <w:rPr>
          <w:rFonts w:ascii="Arial" w:hAnsi="Arial" w:cs="Arial"/>
          <w:sz w:val="32"/>
          <w:szCs w:val="32"/>
        </w:rPr>
        <w:t xml:space="preserve"> acessoriedade entre os serviços</w:t>
      </w:r>
      <w:r w:rsidR="00F9412E" w:rsidRPr="005109BC">
        <w:rPr>
          <w:rFonts w:ascii="Arial" w:hAnsi="Arial" w:cs="Arial"/>
          <w:sz w:val="32"/>
          <w:szCs w:val="32"/>
        </w:rPr>
        <w:t>;</w:t>
      </w:r>
    </w:p>
    <w:p w14:paraId="7955B822" w14:textId="416558ED" w:rsidR="00BF4B69" w:rsidRPr="005109BC" w:rsidRDefault="0081680E" w:rsidP="00CE21CF">
      <w:pPr>
        <w:ind w:left="567"/>
        <w:jc w:val="both"/>
        <w:rPr>
          <w:rFonts w:ascii="Arial" w:hAnsi="Arial" w:cs="Arial"/>
          <w:sz w:val="32"/>
          <w:szCs w:val="32"/>
        </w:rPr>
      </w:pPr>
      <w:r w:rsidRPr="005109BC">
        <w:rPr>
          <w:rFonts w:ascii="Arial" w:hAnsi="Arial" w:cs="Arial"/>
          <w:sz w:val="32"/>
          <w:szCs w:val="32"/>
        </w:rPr>
        <w:t xml:space="preserve">- </w:t>
      </w:r>
      <w:r w:rsidR="005737A4" w:rsidRPr="005109BC">
        <w:rPr>
          <w:rFonts w:ascii="Arial" w:hAnsi="Arial" w:cs="Arial"/>
          <w:sz w:val="32"/>
          <w:szCs w:val="32"/>
        </w:rPr>
        <w:t>necessidade de a Origem</w:t>
      </w:r>
      <w:r w:rsidR="00BF4B69" w:rsidRPr="005109BC">
        <w:rPr>
          <w:rFonts w:ascii="Arial" w:hAnsi="Arial" w:cs="Arial"/>
          <w:sz w:val="32"/>
          <w:szCs w:val="32"/>
        </w:rPr>
        <w:t xml:space="preserve"> esclarecer se os requisitos definidos pela PPP seriam suficientes para comprova</w:t>
      </w:r>
      <w:r w:rsidR="002F45F7" w:rsidRPr="005109BC">
        <w:rPr>
          <w:rFonts w:ascii="Arial" w:hAnsi="Arial" w:cs="Arial"/>
          <w:sz w:val="32"/>
          <w:szCs w:val="32"/>
        </w:rPr>
        <w:t>ção</w:t>
      </w:r>
      <w:r w:rsidR="00BF4B69" w:rsidRPr="005109BC">
        <w:rPr>
          <w:rFonts w:ascii="Arial" w:hAnsi="Arial" w:cs="Arial"/>
          <w:sz w:val="32"/>
          <w:szCs w:val="32"/>
        </w:rPr>
        <w:t xml:space="preserve"> </w:t>
      </w:r>
      <w:r w:rsidR="00F9412E" w:rsidRPr="005109BC">
        <w:rPr>
          <w:rFonts w:ascii="Arial" w:hAnsi="Arial" w:cs="Arial"/>
          <w:sz w:val="32"/>
          <w:szCs w:val="32"/>
        </w:rPr>
        <w:t>d</w:t>
      </w:r>
      <w:r w:rsidR="00BF4B69" w:rsidRPr="005109BC">
        <w:rPr>
          <w:rFonts w:ascii="Arial" w:hAnsi="Arial" w:cs="Arial"/>
          <w:sz w:val="32"/>
          <w:szCs w:val="32"/>
        </w:rPr>
        <w:t>a capacidade técnico-operacional da concessionária</w:t>
      </w:r>
      <w:r w:rsidR="00CE21CF" w:rsidRPr="005109BC">
        <w:rPr>
          <w:rFonts w:ascii="Arial" w:hAnsi="Arial" w:cs="Arial"/>
          <w:sz w:val="32"/>
          <w:szCs w:val="32"/>
        </w:rPr>
        <w:t>;</w:t>
      </w:r>
      <w:r w:rsidR="00BF4B69" w:rsidRPr="005109BC">
        <w:rPr>
          <w:rFonts w:ascii="Arial" w:hAnsi="Arial" w:cs="Arial"/>
          <w:sz w:val="32"/>
          <w:szCs w:val="32"/>
        </w:rPr>
        <w:t xml:space="preserve"> </w:t>
      </w:r>
    </w:p>
    <w:p w14:paraId="6885F93E" w14:textId="4BFFFA1E" w:rsidR="00BF4B69" w:rsidRPr="005109BC" w:rsidRDefault="00C41F57" w:rsidP="00CE21CF">
      <w:pPr>
        <w:ind w:left="567"/>
        <w:jc w:val="both"/>
        <w:rPr>
          <w:rFonts w:ascii="Arial" w:hAnsi="Arial" w:cs="Arial"/>
          <w:sz w:val="32"/>
          <w:szCs w:val="32"/>
        </w:rPr>
      </w:pPr>
      <w:r w:rsidRPr="005109BC">
        <w:rPr>
          <w:rFonts w:ascii="Arial" w:hAnsi="Arial" w:cs="Arial"/>
          <w:sz w:val="32"/>
          <w:szCs w:val="32"/>
        </w:rPr>
        <w:t xml:space="preserve">- questionamentos quanto </w:t>
      </w:r>
      <w:r w:rsidR="00E418F4" w:rsidRPr="005109BC">
        <w:rPr>
          <w:rFonts w:ascii="Arial" w:hAnsi="Arial" w:cs="Arial"/>
          <w:sz w:val="32"/>
          <w:szCs w:val="32"/>
        </w:rPr>
        <w:t>ao detalhamento excessivo</w:t>
      </w:r>
      <w:r w:rsidR="00F9412E" w:rsidRPr="005109BC">
        <w:rPr>
          <w:rFonts w:ascii="Arial" w:hAnsi="Arial" w:cs="Arial"/>
          <w:sz w:val="32"/>
          <w:szCs w:val="32"/>
        </w:rPr>
        <w:t xml:space="preserve"> de</w:t>
      </w:r>
      <w:r w:rsidR="00090EF6" w:rsidRPr="005109BC">
        <w:rPr>
          <w:rFonts w:ascii="Arial" w:hAnsi="Arial" w:cs="Arial"/>
          <w:sz w:val="32"/>
          <w:szCs w:val="32"/>
        </w:rPr>
        <w:t xml:space="preserve"> obrigações previstas </w:t>
      </w:r>
      <w:r w:rsidR="00BF4B69" w:rsidRPr="005109BC">
        <w:rPr>
          <w:rFonts w:ascii="Arial" w:hAnsi="Arial" w:cs="Arial"/>
          <w:sz w:val="32"/>
          <w:szCs w:val="32"/>
        </w:rPr>
        <w:t>caderno de encargos</w:t>
      </w:r>
      <w:r w:rsidR="00CE21CF" w:rsidRPr="005109BC">
        <w:rPr>
          <w:rFonts w:ascii="Arial" w:hAnsi="Arial" w:cs="Arial"/>
          <w:sz w:val="32"/>
          <w:szCs w:val="32"/>
        </w:rPr>
        <w:t xml:space="preserve"> e</w:t>
      </w:r>
    </w:p>
    <w:p w14:paraId="76B7BA54" w14:textId="69CBE059" w:rsidR="00BF4B69" w:rsidRPr="00AC5FC3" w:rsidRDefault="00CE21CF" w:rsidP="00CE21CF">
      <w:pPr>
        <w:ind w:left="567"/>
        <w:jc w:val="both"/>
        <w:rPr>
          <w:rFonts w:ascii="Arial" w:hAnsi="Arial" w:cs="Arial"/>
          <w:color w:val="FF0000"/>
          <w:sz w:val="32"/>
          <w:szCs w:val="32"/>
        </w:rPr>
      </w:pPr>
      <w:r w:rsidRPr="005109BC">
        <w:rPr>
          <w:rFonts w:ascii="Arial" w:hAnsi="Arial" w:cs="Arial"/>
          <w:sz w:val="32"/>
          <w:szCs w:val="32"/>
        </w:rPr>
        <w:t xml:space="preserve">- </w:t>
      </w:r>
      <w:r w:rsidR="00BF4B69" w:rsidRPr="005109BC">
        <w:rPr>
          <w:rFonts w:ascii="Arial" w:hAnsi="Arial" w:cs="Arial"/>
          <w:sz w:val="32"/>
          <w:szCs w:val="32"/>
        </w:rPr>
        <w:t xml:space="preserve">discussão atinente </w:t>
      </w:r>
      <w:r w:rsidR="00B51D90" w:rsidRPr="005109BC">
        <w:rPr>
          <w:rFonts w:ascii="Arial" w:hAnsi="Arial" w:cs="Arial"/>
          <w:sz w:val="32"/>
          <w:szCs w:val="32"/>
        </w:rPr>
        <w:t>à</w:t>
      </w:r>
      <w:r w:rsidR="00BF4B69" w:rsidRPr="005109BC">
        <w:rPr>
          <w:rFonts w:ascii="Arial" w:hAnsi="Arial" w:cs="Arial"/>
          <w:sz w:val="32"/>
          <w:szCs w:val="32"/>
        </w:rPr>
        <w:t xml:space="preserve"> possibilidade de subcontratação</w:t>
      </w:r>
      <w:r w:rsidR="00BF4B69">
        <w:rPr>
          <w:rFonts w:ascii="Arial" w:hAnsi="Arial" w:cs="Arial"/>
          <w:color w:val="FF0000"/>
          <w:sz w:val="32"/>
          <w:szCs w:val="32"/>
        </w:rPr>
        <w:t xml:space="preserve">. </w:t>
      </w:r>
    </w:p>
    <w:p w14:paraId="01741D8F" w14:textId="7722861D" w:rsidR="00BF4B69" w:rsidRPr="009277F7" w:rsidRDefault="00BF4B69" w:rsidP="00BF4B69">
      <w:pPr>
        <w:ind w:firstLine="1134"/>
        <w:jc w:val="both"/>
        <w:rPr>
          <w:rFonts w:ascii="Arial" w:hAnsi="Arial" w:cs="Arial"/>
          <w:sz w:val="32"/>
          <w:szCs w:val="32"/>
        </w:rPr>
      </w:pPr>
      <w:r w:rsidRPr="009277F7">
        <w:rPr>
          <w:rFonts w:ascii="Arial" w:hAnsi="Arial" w:cs="Arial"/>
          <w:sz w:val="32"/>
          <w:szCs w:val="32"/>
        </w:rPr>
        <w:t>O modal de sinergia entre a rede de iluminação semafórica, conforme demonstrado alhures,</w:t>
      </w:r>
      <w:r w:rsidR="008B7E4B">
        <w:rPr>
          <w:rFonts w:ascii="Arial" w:hAnsi="Arial" w:cs="Arial"/>
          <w:sz w:val="32"/>
          <w:szCs w:val="32"/>
        </w:rPr>
        <w:t xml:space="preserve"> segundo os argumentos trazidos pela Administração</w:t>
      </w:r>
      <w:r w:rsidR="004B4575">
        <w:rPr>
          <w:rFonts w:ascii="Arial" w:hAnsi="Arial" w:cs="Arial"/>
          <w:sz w:val="32"/>
          <w:szCs w:val="32"/>
        </w:rPr>
        <w:t>,</w:t>
      </w:r>
      <w:r w:rsidRPr="009277F7">
        <w:rPr>
          <w:rFonts w:ascii="Arial" w:hAnsi="Arial" w:cs="Arial"/>
          <w:sz w:val="32"/>
          <w:szCs w:val="32"/>
        </w:rPr>
        <w:t xml:space="preserve"> não é uma novidade a ser implementada na cidade de São Paulo</w:t>
      </w:r>
      <w:r w:rsidR="008B7E4B">
        <w:rPr>
          <w:rFonts w:ascii="Arial" w:hAnsi="Arial" w:cs="Arial"/>
          <w:sz w:val="32"/>
          <w:szCs w:val="32"/>
        </w:rPr>
        <w:t>.</w:t>
      </w:r>
      <w:r w:rsidRPr="009277F7">
        <w:rPr>
          <w:rFonts w:ascii="Arial" w:hAnsi="Arial" w:cs="Arial"/>
          <w:sz w:val="32"/>
          <w:szCs w:val="32"/>
        </w:rPr>
        <w:t xml:space="preserve"> </w:t>
      </w:r>
      <w:r w:rsidR="004B4575">
        <w:rPr>
          <w:rFonts w:ascii="Arial" w:hAnsi="Arial" w:cs="Arial"/>
          <w:sz w:val="32"/>
          <w:szCs w:val="32"/>
        </w:rPr>
        <w:t>Conforme</w:t>
      </w:r>
      <w:r w:rsidRPr="009277F7">
        <w:rPr>
          <w:rFonts w:ascii="Arial" w:hAnsi="Arial" w:cs="Arial"/>
          <w:sz w:val="32"/>
          <w:szCs w:val="32"/>
        </w:rPr>
        <w:t xml:space="preserve"> manifestação apresentada pela Origem, no Brasil as cidades de São José dos Campos (SP), Itatiba (SP) e </w:t>
      </w:r>
      <w:r w:rsidRPr="009277F7">
        <w:rPr>
          <w:rFonts w:ascii="Arial" w:hAnsi="Arial" w:cs="Arial"/>
          <w:sz w:val="32"/>
          <w:szCs w:val="32"/>
        </w:rPr>
        <w:lastRenderedPageBreak/>
        <w:t xml:space="preserve">Belo Horizonte (BH) possuem o sistema conexo, bem como países como Alemanha, França, Canadá, Estados Unidos, Índia e China também administram de forma conjunta os parques semafóricos e de iluminação pública. </w:t>
      </w:r>
    </w:p>
    <w:p w14:paraId="5E9E9FEF" w14:textId="5C8838E8" w:rsidR="00BF4B69" w:rsidRPr="004C6A8B" w:rsidRDefault="00BF4B69" w:rsidP="009D7790">
      <w:pPr>
        <w:ind w:firstLine="1134"/>
        <w:jc w:val="both"/>
        <w:rPr>
          <w:rFonts w:ascii="Arial" w:hAnsi="Arial" w:cs="Arial"/>
          <w:color w:val="FF0000"/>
          <w:sz w:val="32"/>
          <w:szCs w:val="32"/>
        </w:rPr>
      </w:pPr>
      <w:r w:rsidRPr="008B7E4B">
        <w:rPr>
          <w:rFonts w:ascii="Arial" w:hAnsi="Arial" w:cs="Arial"/>
          <w:sz w:val="32"/>
          <w:szCs w:val="32"/>
        </w:rPr>
        <w:t>A SFC refutou o modelo alemão, porém, não se quedou sobre os demais modais, inclusive os brasileiros. Denota-se que a ponderação contrária deve ser amparada por demonstrativo fático, o que não ocorreu</w:t>
      </w:r>
      <w:r w:rsidR="00133919" w:rsidRPr="008B7E4B">
        <w:rPr>
          <w:rFonts w:ascii="Arial" w:hAnsi="Arial" w:cs="Arial"/>
          <w:sz w:val="32"/>
          <w:szCs w:val="32"/>
        </w:rPr>
        <w:t xml:space="preserve">, </w:t>
      </w:r>
      <w:r w:rsidRPr="008B7E4B">
        <w:rPr>
          <w:rFonts w:ascii="Arial" w:hAnsi="Arial" w:cs="Arial"/>
          <w:sz w:val="32"/>
          <w:szCs w:val="32"/>
        </w:rPr>
        <w:t>razão pela qual</w:t>
      </w:r>
      <w:r w:rsidR="00B51D90" w:rsidRPr="008B7E4B">
        <w:rPr>
          <w:rFonts w:ascii="Arial" w:hAnsi="Arial" w:cs="Arial"/>
          <w:sz w:val="32"/>
          <w:szCs w:val="32"/>
        </w:rPr>
        <w:t>, em homenagem ao princípio da boa-fé, entendo suficiente a demonstração d</w:t>
      </w:r>
      <w:r w:rsidRPr="008B7E4B">
        <w:rPr>
          <w:rFonts w:ascii="Arial" w:hAnsi="Arial" w:cs="Arial"/>
          <w:sz w:val="32"/>
          <w:szCs w:val="32"/>
        </w:rPr>
        <w:t>a existência de modais conjuntos entre iluminação e rede semafórica em outros locais</w:t>
      </w:r>
      <w:r>
        <w:rPr>
          <w:rFonts w:ascii="Arial" w:hAnsi="Arial" w:cs="Arial"/>
          <w:color w:val="FF0000"/>
          <w:sz w:val="32"/>
          <w:szCs w:val="32"/>
        </w:rPr>
        <w:t xml:space="preserve">. </w:t>
      </w:r>
    </w:p>
    <w:p w14:paraId="066A7B61" w14:textId="6CA91820" w:rsidR="00BF4B69" w:rsidRPr="00807DF8" w:rsidRDefault="00BF4B69" w:rsidP="00BF4B69">
      <w:pPr>
        <w:ind w:firstLine="1134"/>
        <w:jc w:val="both"/>
        <w:rPr>
          <w:rFonts w:ascii="Arial" w:hAnsi="Arial" w:cs="Arial"/>
          <w:sz w:val="32"/>
          <w:szCs w:val="32"/>
        </w:rPr>
      </w:pPr>
      <w:r w:rsidRPr="009277F7">
        <w:rPr>
          <w:rFonts w:ascii="Arial" w:hAnsi="Arial" w:cs="Arial"/>
          <w:sz w:val="32"/>
          <w:szCs w:val="32"/>
        </w:rPr>
        <w:t>A sinergia se apresenta com a</w:t>
      </w:r>
      <w:r w:rsidR="00E500F7">
        <w:rPr>
          <w:rFonts w:ascii="Arial" w:hAnsi="Arial" w:cs="Arial"/>
          <w:sz w:val="32"/>
          <w:szCs w:val="32"/>
        </w:rPr>
        <w:t xml:space="preserve"> possibilidade de</w:t>
      </w:r>
      <w:r w:rsidRPr="009277F7">
        <w:rPr>
          <w:rFonts w:ascii="Arial" w:hAnsi="Arial" w:cs="Arial"/>
          <w:sz w:val="32"/>
          <w:szCs w:val="32"/>
        </w:rPr>
        <w:t xml:space="preserve"> repartição de materiais, equipamentos e estrutura, conforme parecer</w:t>
      </w:r>
      <w:r w:rsidR="00807DF8">
        <w:rPr>
          <w:rFonts w:ascii="Arial" w:hAnsi="Arial" w:cs="Arial"/>
          <w:sz w:val="32"/>
          <w:szCs w:val="32"/>
        </w:rPr>
        <w:t xml:space="preserve"> encomendado ao </w:t>
      </w:r>
      <w:r w:rsidR="001D20C7">
        <w:rPr>
          <w:rFonts w:ascii="Arial" w:hAnsi="Arial" w:cs="Arial"/>
          <w:sz w:val="32"/>
          <w:szCs w:val="32"/>
        </w:rPr>
        <w:t>Professor</w:t>
      </w:r>
      <w:r w:rsidR="00807DF8">
        <w:rPr>
          <w:rFonts w:ascii="Arial" w:hAnsi="Arial" w:cs="Arial"/>
          <w:sz w:val="32"/>
          <w:szCs w:val="32"/>
        </w:rPr>
        <w:t xml:space="preserve"> Gesner de Oliveira, que concluiu o quanto segue</w:t>
      </w:r>
      <w:r w:rsidRPr="00807DF8">
        <w:rPr>
          <w:rFonts w:ascii="Arial" w:hAnsi="Arial" w:cs="Arial"/>
          <w:sz w:val="32"/>
          <w:szCs w:val="32"/>
        </w:rPr>
        <w:t>:</w:t>
      </w:r>
    </w:p>
    <w:p w14:paraId="3E0BF83A" w14:textId="77777777" w:rsidR="00BF4B69" w:rsidRPr="009277F7" w:rsidRDefault="00BF4B69" w:rsidP="00BF4B69">
      <w:pPr>
        <w:jc w:val="both"/>
        <w:rPr>
          <w:rFonts w:ascii="Arial" w:hAnsi="Arial" w:cs="Arial"/>
          <w:sz w:val="32"/>
          <w:szCs w:val="32"/>
        </w:rPr>
      </w:pPr>
    </w:p>
    <w:p w14:paraId="6C3EA78D" w14:textId="77777777" w:rsidR="00BF4B69" w:rsidRPr="009277F7" w:rsidRDefault="00BF4B69" w:rsidP="00BF4B69">
      <w:pPr>
        <w:ind w:left="1134"/>
        <w:jc w:val="both"/>
        <w:rPr>
          <w:rFonts w:ascii="Arial" w:hAnsi="Arial" w:cs="Arial"/>
          <w:i/>
          <w:sz w:val="32"/>
          <w:szCs w:val="32"/>
        </w:rPr>
      </w:pPr>
      <w:r w:rsidRPr="009277F7">
        <w:rPr>
          <w:rFonts w:ascii="Arial" w:hAnsi="Arial" w:cs="Arial"/>
          <w:i/>
          <w:sz w:val="32"/>
          <w:szCs w:val="32"/>
        </w:rPr>
        <w:t>Tanto os serviços semafóricos como os de iluminação pública envolvem atividades como a de implantação e manutenção de lâmpadas a LED; cabeamento elétrico; postes metálicos; dentre outros insumos compartilhados. A instalação elétrica convencional é realizada da mesma forma, uma vez que envolve tanto a parte mecânica como postes, chumbadores e colunas, quanto à parte de obras civis e, principalmente, instalações na parte elétrica. De forma geral, o único equipamento relevante que não compartilha sinergias entre esses serviços é o controlador semafórico, que hoje não é atendido pelas equipes de iluminação pública.</w:t>
      </w:r>
    </w:p>
    <w:p w14:paraId="3AAECE4C" w14:textId="77777777" w:rsidR="00BF4B69" w:rsidRPr="009277F7" w:rsidRDefault="00BF4B69" w:rsidP="00BF4B69">
      <w:pPr>
        <w:ind w:left="1134"/>
        <w:jc w:val="both"/>
        <w:rPr>
          <w:rFonts w:ascii="Arial" w:hAnsi="Arial" w:cs="Arial"/>
          <w:i/>
          <w:sz w:val="32"/>
          <w:szCs w:val="32"/>
        </w:rPr>
      </w:pPr>
      <w:r w:rsidRPr="009277F7">
        <w:rPr>
          <w:rFonts w:ascii="Arial" w:hAnsi="Arial" w:cs="Arial"/>
          <w:i/>
          <w:sz w:val="32"/>
          <w:szCs w:val="32"/>
        </w:rPr>
        <w:t xml:space="preserve">A sinergia existente na utilização destes materiais, equipamentos e estruturas permite que ganhos de eficiência em um dos serviços também possam ser aproveitados no outro. Por exemplo, a substituição </w:t>
      </w:r>
      <w:r w:rsidRPr="009277F7">
        <w:rPr>
          <w:rFonts w:ascii="Arial" w:hAnsi="Arial" w:cs="Arial"/>
          <w:i/>
          <w:sz w:val="32"/>
          <w:szCs w:val="32"/>
        </w:rPr>
        <w:lastRenderedPageBreak/>
        <w:t>das lâmpadas convencionais de postes de iluminação por sistemas que utilizam diodos emissores de luz (LED) também pode ser aplicada aos semáforos, reduzindo também o consumo de energia pelo sistema semafórico.</w:t>
      </w:r>
    </w:p>
    <w:p w14:paraId="5F2D2009" w14:textId="77777777" w:rsidR="00BF4B69" w:rsidRPr="00807DF8" w:rsidRDefault="00BF4B69" w:rsidP="00BF4B69">
      <w:pPr>
        <w:ind w:left="1134"/>
        <w:jc w:val="both"/>
        <w:rPr>
          <w:rFonts w:ascii="Arial" w:hAnsi="Arial" w:cs="Arial"/>
          <w:i/>
          <w:sz w:val="32"/>
          <w:szCs w:val="32"/>
        </w:rPr>
      </w:pPr>
      <w:r w:rsidRPr="009277F7">
        <w:rPr>
          <w:rFonts w:ascii="Arial" w:hAnsi="Arial" w:cs="Arial"/>
          <w:i/>
          <w:sz w:val="32"/>
          <w:szCs w:val="32"/>
        </w:rPr>
        <w:t xml:space="preserve">Tais ganhos de eficiência energética em ambos os serviços, vale destacar, não são inéditos. </w:t>
      </w:r>
      <w:r w:rsidRPr="00807DF8">
        <w:rPr>
          <w:rFonts w:ascii="Arial" w:hAnsi="Arial" w:cs="Arial"/>
          <w:b/>
          <w:bCs/>
          <w:i/>
          <w:sz w:val="32"/>
          <w:szCs w:val="32"/>
          <w:u w:val="single"/>
        </w:rPr>
        <w:t>O Programa Nacional de Iluminação Pública e Sinalização Semafórica Eficientes (Procel Reluz), instituído em 2000 pela Eletrobras, com apoio do Ministério de Minas e Energia (MME), procurou exatamente promover o desenvolvimento de sistemas eficientes de iluminação pública e sinalização semafórica,</w:t>
      </w:r>
      <w:r w:rsidRPr="00807DF8">
        <w:rPr>
          <w:rFonts w:ascii="Arial" w:hAnsi="Arial" w:cs="Arial"/>
          <w:i/>
          <w:sz w:val="32"/>
          <w:szCs w:val="32"/>
        </w:rPr>
        <w:t xml:space="preserve"> bem como a valorização dos espaços públicos urbanos, melhorando a segurança da população. (grifamos)</w:t>
      </w:r>
    </w:p>
    <w:p w14:paraId="6132DEB9" w14:textId="77777777" w:rsidR="00BF4B69" w:rsidRPr="00807DF8" w:rsidRDefault="00BF4B69" w:rsidP="00BF4B69">
      <w:pPr>
        <w:jc w:val="both"/>
        <w:rPr>
          <w:rFonts w:ascii="Arial" w:hAnsi="Arial" w:cs="Arial"/>
          <w:sz w:val="32"/>
          <w:szCs w:val="32"/>
        </w:rPr>
      </w:pPr>
    </w:p>
    <w:p w14:paraId="779736CC" w14:textId="1A2B5661" w:rsidR="00BF4B69" w:rsidRPr="009277F7" w:rsidRDefault="00BF4B69" w:rsidP="00BF4B69">
      <w:pPr>
        <w:ind w:firstLine="1134"/>
        <w:jc w:val="both"/>
        <w:rPr>
          <w:rFonts w:ascii="Arial" w:hAnsi="Arial" w:cs="Arial"/>
          <w:sz w:val="32"/>
          <w:szCs w:val="32"/>
        </w:rPr>
      </w:pPr>
      <w:r w:rsidRPr="009277F7">
        <w:rPr>
          <w:rFonts w:ascii="Arial" w:hAnsi="Arial" w:cs="Arial"/>
          <w:sz w:val="32"/>
          <w:szCs w:val="32"/>
        </w:rPr>
        <w:t>A junção da força laborativa num único contrato também viabiliza a economia de energia elétrica, tanto pela alteração da tecnologia (por exemplo, LEDs em semáforos) como por meio da gestão de</w:t>
      </w:r>
      <w:r w:rsidR="00CD6BFB">
        <w:rPr>
          <w:rFonts w:ascii="Arial" w:hAnsi="Arial" w:cs="Arial"/>
          <w:sz w:val="32"/>
          <w:szCs w:val="32"/>
        </w:rPr>
        <w:t xml:space="preserve"> seu</w:t>
      </w:r>
      <w:r w:rsidRPr="009277F7">
        <w:rPr>
          <w:rFonts w:ascii="Arial" w:hAnsi="Arial" w:cs="Arial"/>
          <w:sz w:val="32"/>
          <w:szCs w:val="32"/>
        </w:rPr>
        <w:t xml:space="preserve"> funcionamento. Ainda, o parecer apresenta conexão com o serviço de operações e mão-de-obra, uma vez que a equipe destinada a cuidar da rede de iluminação pública também atuaria na conservação e manutenção da rede semafórica.</w:t>
      </w:r>
    </w:p>
    <w:p w14:paraId="7F1E16E8" w14:textId="12CFBB78" w:rsidR="00BF4B69" w:rsidRPr="009277F7" w:rsidRDefault="00FE0560" w:rsidP="00BF4B69">
      <w:pPr>
        <w:ind w:firstLine="1134"/>
        <w:jc w:val="both"/>
        <w:rPr>
          <w:rFonts w:ascii="Arial" w:hAnsi="Arial" w:cs="Arial"/>
          <w:sz w:val="32"/>
          <w:szCs w:val="32"/>
        </w:rPr>
      </w:pPr>
      <w:r>
        <w:rPr>
          <w:rFonts w:ascii="Arial" w:hAnsi="Arial" w:cs="Arial"/>
          <w:sz w:val="32"/>
          <w:szCs w:val="32"/>
        </w:rPr>
        <w:t>Outrossim</w:t>
      </w:r>
      <w:r w:rsidR="00BF4B69" w:rsidRPr="009277F7">
        <w:rPr>
          <w:rFonts w:ascii="Arial" w:hAnsi="Arial" w:cs="Arial"/>
          <w:sz w:val="32"/>
          <w:szCs w:val="32"/>
        </w:rPr>
        <w:t xml:space="preserve">, um dos ganhos para cidade por meio da sinergia entre os serviços de iluminação pública e semafóricos está na estruturação de um modelo de </w:t>
      </w:r>
      <w:r w:rsidR="00BF4B69" w:rsidRPr="009277F7">
        <w:rPr>
          <w:rFonts w:ascii="Arial" w:hAnsi="Arial" w:cs="Arial"/>
          <w:i/>
          <w:sz w:val="32"/>
          <w:szCs w:val="32"/>
        </w:rPr>
        <w:t>Smart City</w:t>
      </w:r>
      <w:r w:rsidR="00EB22CF">
        <w:rPr>
          <w:rFonts w:ascii="Arial" w:hAnsi="Arial" w:cs="Arial"/>
          <w:i/>
          <w:sz w:val="32"/>
          <w:szCs w:val="32"/>
        </w:rPr>
        <w:t>,</w:t>
      </w:r>
      <w:r w:rsidR="00BF4B69" w:rsidRPr="009277F7">
        <w:rPr>
          <w:rFonts w:ascii="Arial" w:hAnsi="Arial" w:cs="Arial"/>
          <w:sz w:val="32"/>
          <w:szCs w:val="32"/>
        </w:rPr>
        <w:t xml:space="preserve"> possibilitando a exploração adicional de meios de melhoria perene do conjunto d</w:t>
      </w:r>
      <w:r w:rsidR="002A1532">
        <w:rPr>
          <w:rFonts w:ascii="Arial" w:hAnsi="Arial" w:cs="Arial"/>
          <w:sz w:val="32"/>
          <w:szCs w:val="32"/>
        </w:rPr>
        <w:t>o</w:t>
      </w:r>
      <w:r w:rsidR="00BF4B69" w:rsidRPr="009277F7">
        <w:rPr>
          <w:rFonts w:ascii="Arial" w:hAnsi="Arial" w:cs="Arial"/>
          <w:sz w:val="32"/>
          <w:szCs w:val="32"/>
        </w:rPr>
        <w:t xml:space="preserve"> sistema, com a finalidade de melhor atender ao público e</w:t>
      </w:r>
      <w:r w:rsidR="002A1532">
        <w:rPr>
          <w:rFonts w:ascii="Arial" w:hAnsi="Arial" w:cs="Arial"/>
          <w:sz w:val="32"/>
          <w:szCs w:val="32"/>
        </w:rPr>
        <w:t>,</w:t>
      </w:r>
      <w:r w:rsidR="00BF4B69" w:rsidRPr="009277F7">
        <w:rPr>
          <w:rFonts w:ascii="Arial" w:hAnsi="Arial" w:cs="Arial"/>
          <w:sz w:val="32"/>
          <w:szCs w:val="32"/>
        </w:rPr>
        <w:t xml:space="preserve"> consequentemente</w:t>
      </w:r>
      <w:r w:rsidR="002A1532">
        <w:rPr>
          <w:rFonts w:ascii="Arial" w:hAnsi="Arial" w:cs="Arial"/>
          <w:sz w:val="32"/>
          <w:szCs w:val="32"/>
        </w:rPr>
        <w:t>,</w:t>
      </w:r>
      <w:r w:rsidR="00BF4B69" w:rsidRPr="009277F7">
        <w:rPr>
          <w:rFonts w:ascii="Arial" w:hAnsi="Arial" w:cs="Arial"/>
          <w:sz w:val="32"/>
          <w:szCs w:val="32"/>
        </w:rPr>
        <w:t xml:space="preserve"> melhor </w:t>
      </w:r>
      <w:r w:rsidR="00BF4B69" w:rsidRPr="009277F7">
        <w:rPr>
          <w:rFonts w:ascii="Arial" w:hAnsi="Arial" w:cs="Arial"/>
          <w:sz w:val="32"/>
          <w:szCs w:val="32"/>
        </w:rPr>
        <w:lastRenderedPageBreak/>
        <w:t>explorar o potencial econômico. Neste ponto o parecer técnico apresentado pela Origem foi categórico:</w:t>
      </w:r>
    </w:p>
    <w:p w14:paraId="4061CA93" w14:textId="77777777" w:rsidR="00BF4B69" w:rsidRPr="009277F7" w:rsidRDefault="00BF4B69" w:rsidP="00BF4B69">
      <w:pPr>
        <w:jc w:val="both"/>
        <w:rPr>
          <w:rFonts w:ascii="Arial" w:hAnsi="Arial" w:cs="Arial"/>
          <w:sz w:val="32"/>
          <w:szCs w:val="32"/>
        </w:rPr>
      </w:pPr>
    </w:p>
    <w:p w14:paraId="02A552D5" w14:textId="77777777" w:rsidR="00BF4B69" w:rsidRPr="009277F7" w:rsidRDefault="00BF4B69" w:rsidP="00BF4B69">
      <w:pPr>
        <w:ind w:left="1134"/>
        <w:jc w:val="both"/>
        <w:rPr>
          <w:rFonts w:ascii="Arial" w:hAnsi="Arial" w:cs="Arial"/>
          <w:i/>
          <w:sz w:val="32"/>
          <w:szCs w:val="32"/>
        </w:rPr>
      </w:pPr>
      <w:r w:rsidRPr="009277F7">
        <w:rPr>
          <w:rFonts w:ascii="Arial" w:hAnsi="Arial" w:cs="Arial"/>
          <w:i/>
          <w:sz w:val="32"/>
          <w:szCs w:val="32"/>
        </w:rPr>
        <w:t xml:space="preserve">Sob o arcabouço de uma concessão de longo prazo, como é o caso do Contrato de Iluminação Pública, o operador terá maiores incentivos para investir em um processo de modernização contínua do sistema semafórico, o que seria fundamental para tornar São Paulo em uma cidade inteligente ("Smart City"), com a integração de sistemas e pessoas de modo a catalisar </w:t>
      </w:r>
      <w:r w:rsidRPr="00807DF8">
        <w:rPr>
          <w:rFonts w:ascii="Arial" w:hAnsi="Arial" w:cs="Arial"/>
          <w:i/>
          <w:sz w:val="32"/>
          <w:szCs w:val="32"/>
        </w:rPr>
        <w:t xml:space="preserve">o desenvolvimento econômico e a melhoria da qualidade de vida. </w:t>
      </w:r>
      <w:r w:rsidRPr="009277F7">
        <w:rPr>
          <w:rFonts w:ascii="Arial" w:hAnsi="Arial" w:cs="Arial"/>
          <w:i/>
          <w:sz w:val="32"/>
          <w:szCs w:val="32"/>
        </w:rPr>
        <w:t xml:space="preserve">Tais integrações envolvem soluções de Internet of Things (loT), permitindo a comunicação entre infraestruturas da cidade para melhor se adaptarem aos movimentos complexos dos grandes centros urbanos. </w:t>
      </w:r>
    </w:p>
    <w:p w14:paraId="1B67584C" w14:textId="77777777" w:rsidR="00BF4B69" w:rsidRPr="009277F7" w:rsidRDefault="00BF4B69" w:rsidP="00BF4B69">
      <w:pPr>
        <w:ind w:left="1134"/>
        <w:jc w:val="both"/>
        <w:rPr>
          <w:rFonts w:ascii="Arial" w:hAnsi="Arial" w:cs="Arial"/>
          <w:i/>
          <w:sz w:val="32"/>
          <w:szCs w:val="32"/>
        </w:rPr>
      </w:pPr>
      <w:r w:rsidRPr="009277F7">
        <w:rPr>
          <w:rFonts w:ascii="Arial" w:hAnsi="Arial" w:cs="Arial"/>
          <w:i/>
          <w:sz w:val="32"/>
          <w:szCs w:val="32"/>
        </w:rPr>
        <w:t xml:space="preserve">Dentre as várias integrações entre as infraestruturas de uma Smart City, </w:t>
      </w:r>
      <w:r w:rsidRPr="00807DF8">
        <w:rPr>
          <w:rFonts w:ascii="Arial" w:hAnsi="Arial" w:cs="Arial"/>
          <w:i/>
          <w:sz w:val="32"/>
          <w:szCs w:val="32"/>
        </w:rPr>
        <w:t xml:space="preserve">destaca-se a comunicação </w:t>
      </w:r>
      <w:r w:rsidRPr="009277F7">
        <w:rPr>
          <w:rFonts w:ascii="Arial" w:hAnsi="Arial" w:cs="Arial"/>
          <w:i/>
          <w:sz w:val="32"/>
          <w:szCs w:val="32"/>
        </w:rPr>
        <w:t xml:space="preserve">entre a iluminação pública e o volume de tráfego que, por sua vez, se relaciona diretamente com o sistema semafórico. Um exemplo ilustrativo desta integração é o condado de Doncaster, na Inglaterra: utilizou-se iluminação inteligente para diminuir o brilho das lâmpadas de LED durante horas de pouco tráfego automotivo; e os brilhos dos postes de iluminação foram ajustados para mudar a depender do tráfego de veículos e de pedestres. Tecnologias dessa natureza poderiam ser utilizadas em conjunto com controles semafóricos inteligentes, permitindo o controle otimizado do tempo de abertura e fechamento do trânsito a depender do volume de tráfego nos cruzamentos e, assim, evitando grandes congestionamentos. </w:t>
      </w:r>
    </w:p>
    <w:p w14:paraId="66B327D0" w14:textId="77777777" w:rsidR="00BF4B69" w:rsidRPr="009277F7" w:rsidRDefault="00BF4B69" w:rsidP="00BF4B69">
      <w:pPr>
        <w:ind w:left="1134"/>
        <w:jc w:val="both"/>
        <w:rPr>
          <w:rFonts w:ascii="Arial" w:hAnsi="Arial" w:cs="Arial"/>
          <w:i/>
          <w:sz w:val="32"/>
          <w:szCs w:val="32"/>
        </w:rPr>
      </w:pPr>
      <w:r w:rsidRPr="009277F7">
        <w:rPr>
          <w:rFonts w:ascii="Arial" w:hAnsi="Arial" w:cs="Arial"/>
          <w:i/>
          <w:sz w:val="32"/>
          <w:szCs w:val="32"/>
        </w:rPr>
        <w:lastRenderedPageBreak/>
        <w:t>As soluções de Smart Cities são o futuro para a economia de energia das grandes cidades, assim como para municípios ambientalmente sustentáveis. Ao contrário da atual gestão semafórica, defasada do ponto de vista tecnológico e que realiza apenas manutenção corretiva, uma gestão ativa e inteligente poderia trazer benefícios importantes à cidade.</w:t>
      </w:r>
    </w:p>
    <w:p w14:paraId="020B3CFE" w14:textId="77777777" w:rsidR="00BF4B69" w:rsidRPr="009277F7" w:rsidRDefault="00BF4B69" w:rsidP="00BF4B69">
      <w:pPr>
        <w:jc w:val="both"/>
        <w:rPr>
          <w:rFonts w:ascii="Arial" w:hAnsi="Arial" w:cs="Arial"/>
          <w:sz w:val="32"/>
          <w:szCs w:val="32"/>
        </w:rPr>
      </w:pPr>
    </w:p>
    <w:p w14:paraId="042F9B5E" w14:textId="77777777" w:rsidR="00BF4B69" w:rsidRPr="00064150" w:rsidRDefault="00BF4B69" w:rsidP="00BF4B69">
      <w:pPr>
        <w:ind w:firstLine="1134"/>
        <w:jc w:val="both"/>
        <w:rPr>
          <w:rFonts w:ascii="Arial" w:hAnsi="Arial" w:cs="Arial"/>
          <w:color w:val="FF0000"/>
          <w:sz w:val="32"/>
          <w:szCs w:val="32"/>
        </w:rPr>
      </w:pPr>
      <w:r w:rsidRPr="00807DF8">
        <w:rPr>
          <w:rFonts w:ascii="Arial" w:hAnsi="Arial" w:cs="Arial"/>
          <w:sz w:val="32"/>
          <w:szCs w:val="32"/>
        </w:rPr>
        <w:t>Esse apontamento da Origem responde aos requisitos de sinergia, denota</w:t>
      </w:r>
      <w:r w:rsidR="001D20C7" w:rsidRPr="00807DF8">
        <w:rPr>
          <w:rFonts w:ascii="Arial" w:hAnsi="Arial" w:cs="Arial"/>
          <w:sz w:val="32"/>
          <w:szCs w:val="32"/>
        </w:rPr>
        <w:t>ndo</w:t>
      </w:r>
      <w:r w:rsidRPr="00807DF8">
        <w:rPr>
          <w:rFonts w:ascii="Arial" w:hAnsi="Arial" w:cs="Arial"/>
          <w:sz w:val="32"/>
          <w:szCs w:val="32"/>
        </w:rPr>
        <w:t>-se que a característica principal do contrato de concessão é sua mutabilidade diante de cenários que culminam em sua releitura diante de avanços tecnológicos, por exemplo</w:t>
      </w:r>
      <w:r w:rsidR="001D20C7" w:rsidRPr="00807DF8">
        <w:rPr>
          <w:rFonts w:ascii="Arial" w:hAnsi="Arial" w:cs="Arial"/>
          <w:sz w:val="32"/>
          <w:szCs w:val="32"/>
        </w:rPr>
        <w:t>, conforme já ressaltado anteriormente neste voto</w:t>
      </w:r>
      <w:r w:rsidRPr="00064150">
        <w:rPr>
          <w:rFonts w:ascii="Arial" w:hAnsi="Arial" w:cs="Arial"/>
          <w:color w:val="FF0000"/>
          <w:sz w:val="32"/>
          <w:szCs w:val="32"/>
        </w:rPr>
        <w:t xml:space="preserve">. </w:t>
      </w:r>
    </w:p>
    <w:p w14:paraId="31681661" w14:textId="77777777" w:rsidR="00BF4B69" w:rsidRPr="009277F7" w:rsidRDefault="00BF4B69" w:rsidP="00BF4B69">
      <w:pPr>
        <w:ind w:firstLine="1134"/>
        <w:jc w:val="both"/>
        <w:rPr>
          <w:rFonts w:ascii="Arial" w:hAnsi="Arial" w:cs="Arial"/>
          <w:sz w:val="32"/>
          <w:szCs w:val="32"/>
        </w:rPr>
      </w:pPr>
      <w:r w:rsidRPr="009277F7">
        <w:rPr>
          <w:rFonts w:ascii="Arial" w:hAnsi="Arial" w:cs="Arial"/>
          <w:sz w:val="32"/>
          <w:szCs w:val="32"/>
        </w:rPr>
        <w:t xml:space="preserve">Assim, diante dos elementos apresentados aos autos torna-se imperioso reconhecer a presença da conexão entre os objetos e a possibilidade de exploração conjunta num mesmo contrato. </w:t>
      </w:r>
    </w:p>
    <w:p w14:paraId="012F5EAD" w14:textId="77777777" w:rsidR="00BF4B69" w:rsidRPr="009277F7" w:rsidRDefault="00BF4B69" w:rsidP="00BF4B69">
      <w:pPr>
        <w:jc w:val="both"/>
        <w:rPr>
          <w:rFonts w:ascii="Arial" w:hAnsi="Arial" w:cs="Arial"/>
          <w:sz w:val="32"/>
          <w:szCs w:val="32"/>
        </w:rPr>
      </w:pPr>
    </w:p>
    <w:p w14:paraId="114FB61B" w14:textId="77777777" w:rsidR="00BF4B69" w:rsidRPr="009277F7" w:rsidRDefault="00BF4B69" w:rsidP="00BF4B69">
      <w:pPr>
        <w:jc w:val="both"/>
        <w:rPr>
          <w:rFonts w:ascii="Arial" w:hAnsi="Arial" w:cs="Arial"/>
          <w:b/>
          <w:sz w:val="32"/>
          <w:szCs w:val="32"/>
        </w:rPr>
      </w:pPr>
      <w:bookmarkStart w:id="4" w:name="_Hlk109894454"/>
      <w:r>
        <w:rPr>
          <w:rFonts w:ascii="Arial" w:hAnsi="Arial" w:cs="Arial"/>
          <w:b/>
          <w:sz w:val="32"/>
          <w:szCs w:val="32"/>
        </w:rPr>
        <w:t>2.3</w:t>
      </w:r>
      <w:r w:rsidRPr="009277F7">
        <w:rPr>
          <w:rFonts w:ascii="Arial" w:hAnsi="Arial" w:cs="Arial"/>
          <w:b/>
          <w:sz w:val="32"/>
          <w:szCs w:val="32"/>
        </w:rPr>
        <w:t xml:space="preserve"> – Apresentar justificativas técnicas demonstrando que o serviço de modernização e manutenção semafórica deva ser compreendido como acessório ao serviço de iluminação pública e não como serviço próprio, ensejando, assim, a necessidade de contratação por meio de licitação específica (Contrato nº 3/SMSO/2018).</w:t>
      </w:r>
    </w:p>
    <w:bookmarkEnd w:id="4"/>
    <w:p w14:paraId="3A09DBD3" w14:textId="77777777" w:rsidR="00BF4B69" w:rsidRPr="009277F7" w:rsidRDefault="00BF4B69" w:rsidP="00BF4B69">
      <w:pPr>
        <w:jc w:val="both"/>
        <w:rPr>
          <w:rFonts w:ascii="Arial" w:hAnsi="Arial" w:cs="Arial"/>
          <w:sz w:val="32"/>
          <w:szCs w:val="32"/>
        </w:rPr>
      </w:pPr>
    </w:p>
    <w:p w14:paraId="51C55B78" w14:textId="3EEB4FC8" w:rsidR="00BF4B69" w:rsidRPr="009277F7" w:rsidRDefault="00BF4B69" w:rsidP="00BF4B69">
      <w:pPr>
        <w:ind w:firstLine="1134"/>
        <w:jc w:val="both"/>
        <w:rPr>
          <w:rFonts w:ascii="Arial" w:hAnsi="Arial" w:cs="Arial"/>
          <w:sz w:val="32"/>
          <w:szCs w:val="32"/>
        </w:rPr>
      </w:pPr>
      <w:r w:rsidRPr="009277F7">
        <w:rPr>
          <w:rFonts w:ascii="Arial" w:hAnsi="Arial" w:cs="Arial"/>
          <w:sz w:val="32"/>
          <w:szCs w:val="32"/>
        </w:rPr>
        <w:t xml:space="preserve">Em resposta </w:t>
      </w:r>
      <w:r w:rsidR="00434E4A">
        <w:rPr>
          <w:rFonts w:ascii="Arial" w:hAnsi="Arial" w:cs="Arial"/>
          <w:sz w:val="32"/>
          <w:szCs w:val="32"/>
        </w:rPr>
        <w:t>à</w:t>
      </w:r>
      <w:r w:rsidRPr="009277F7">
        <w:rPr>
          <w:rFonts w:ascii="Arial" w:hAnsi="Arial" w:cs="Arial"/>
          <w:sz w:val="32"/>
          <w:szCs w:val="32"/>
        </w:rPr>
        <w:t xml:space="preserve"> indagação</w:t>
      </w:r>
      <w:r w:rsidR="00F30573">
        <w:rPr>
          <w:rFonts w:ascii="Arial" w:hAnsi="Arial" w:cs="Arial"/>
          <w:sz w:val="32"/>
          <w:szCs w:val="32"/>
        </w:rPr>
        <w:t>,</w:t>
      </w:r>
      <w:r w:rsidRPr="009277F7">
        <w:rPr>
          <w:rFonts w:ascii="Arial" w:hAnsi="Arial" w:cs="Arial"/>
          <w:sz w:val="32"/>
          <w:szCs w:val="32"/>
        </w:rPr>
        <w:t xml:space="preserve"> a Origem apresent</w:t>
      </w:r>
      <w:r w:rsidR="00C1199A">
        <w:rPr>
          <w:rFonts w:ascii="Arial" w:hAnsi="Arial" w:cs="Arial"/>
          <w:sz w:val="32"/>
          <w:szCs w:val="32"/>
        </w:rPr>
        <w:t>ou</w:t>
      </w:r>
      <w:r w:rsidRPr="009277F7">
        <w:rPr>
          <w:rFonts w:ascii="Arial" w:hAnsi="Arial" w:cs="Arial"/>
          <w:sz w:val="32"/>
          <w:szCs w:val="32"/>
        </w:rPr>
        <w:t xml:space="preserve"> o posicionamento da CET, com destaque </w:t>
      </w:r>
      <w:r w:rsidR="003019F8">
        <w:rPr>
          <w:rFonts w:ascii="Arial" w:hAnsi="Arial" w:cs="Arial"/>
          <w:sz w:val="32"/>
          <w:szCs w:val="32"/>
        </w:rPr>
        <w:t>para sua</w:t>
      </w:r>
      <w:r w:rsidRPr="009277F7">
        <w:rPr>
          <w:rFonts w:ascii="Arial" w:hAnsi="Arial" w:cs="Arial"/>
          <w:sz w:val="32"/>
          <w:szCs w:val="32"/>
        </w:rPr>
        <w:t xml:space="preserve"> manifestação sobre a acessoriedade do sistema semafórico </w:t>
      </w:r>
      <w:r w:rsidR="00DD13A4">
        <w:rPr>
          <w:rFonts w:ascii="Arial" w:hAnsi="Arial" w:cs="Arial"/>
          <w:sz w:val="32"/>
          <w:szCs w:val="32"/>
        </w:rPr>
        <w:t>em comparação com a</w:t>
      </w:r>
      <w:r w:rsidRPr="009277F7">
        <w:rPr>
          <w:rFonts w:ascii="Arial" w:hAnsi="Arial" w:cs="Arial"/>
          <w:sz w:val="32"/>
          <w:szCs w:val="32"/>
        </w:rPr>
        <w:t xml:space="preserve"> rede de iluminação pública.</w:t>
      </w:r>
    </w:p>
    <w:p w14:paraId="1B52F84B" w14:textId="77777777" w:rsidR="00BF4B69" w:rsidRPr="009277F7" w:rsidRDefault="00BF4B69" w:rsidP="00BF4B69">
      <w:pPr>
        <w:ind w:firstLine="1134"/>
        <w:jc w:val="both"/>
        <w:rPr>
          <w:rFonts w:ascii="Arial" w:hAnsi="Arial" w:cs="Arial"/>
          <w:sz w:val="32"/>
          <w:szCs w:val="32"/>
        </w:rPr>
      </w:pPr>
      <w:r w:rsidRPr="009277F7">
        <w:rPr>
          <w:rFonts w:ascii="Arial" w:hAnsi="Arial" w:cs="Arial"/>
          <w:sz w:val="32"/>
          <w:szCs w:val="32"/>
        </w:rPr>
        <w:lastRenderedPageBreak/>
        <w:t xml:space="preserve">A Origem </w:t>
      </w:r>
      <w:r w:rsidR="00C8748F">
        <w:rPr>
          <w:rFonts w:ascii="Arial" w:hAnsi="Arial" w:cs="Arial"/>
          <w:sz w:val="32"/>
          <w:szCs w:val="32"/>
        </w:rPr>
        <w:t>ressaltou</w:t>
      </w:r>
      <w:r w:rsidRPr="009277F7">
        <w:rPr>
          <w:rFonts w:ascii="Arial" w:hAnsi="Arial" w:cs="Arial"/>
          <w:sz w:val="32"/>
          <w:szCs w:val="32"/>
        </w:rPr>
        <w:t xml:space="preserve"> o seguinte trecho da manifestação da CET:</w:t>
      </w:r>
    </w:p>
    <w:p w14:paraId="590C05B9" w14:textId="77777777" w:rsidR="00BF4B69" w:rsidRPr="009277F7" w:rsidRDefault="00BF4B69" w:rsidP="00BF4B69">
      <w:pPr>
        <w:jc w:val="both"/>
        <w:rPr>
          <w:rFonts w:ascii="Arial" w:hAnsi="Arial" w:cs="Arial"/>
          <w:sz w:val="32"/>
          <w:szCs w:val="32"/>
        </w:rPr>
      </w:pPr>
    </w:p>
    <w:p w14:paraId="3D44780D" w14:textId="77777777" w:rsidR="00BF4B69" w:rsidRPr="009277F7" w:rsidRDefault="00BF4B69" w:rsidP="00BF4B69">
      <w:pPr>
        <w:ind w:left="1134"/>
        <w:jc w:val="both"/>
        <w:rPr>
          <w:rFonts w:ascii="Arial" w:hAnsi="Arial" w:cs="Arial"/>
          <w:i/>
          <w:sz w:val="32"/>
          <w:szCs w:val="32"/>
        </w:rPr>
      </w:pPr>
      <w:r w:rsidRPr="009277F7">
        <w:rPr>
          <w:rFonts w:ascii="Arial" w:hAnsi="Arial" w:cs="Arial"/>
          <w:i/>
          <w:sz w:val="32"/>
          <w:szCs w:val="32"/>
        </w:rPr>
        <w:t>Quanto ao caráter assessório da rede de semafórica em relação à rede de iluminação, esse se evidencia pela dimensão dos serviços. A concessionária de iluminação pública gere, atualmente, um parque com mais de seiscentos mil pontos. A rede semafórica, por sua vez, contém seis mil e dezessete locais semaforizados (inclui meio de quadra e não conta amarelo piscante, fonte de dados Fonte de dados planilha do SMEE CADASTRO DNA – acesso em 06/06/2022), ou seja, um conjunto de equipamentos substancialmente menor do que aquele da iluminação.</w:t>
      </w:r>
    </w:p>
    <w:p w14:paraId="06BE6F81" w14:textId="77777777" w:rsidR="00BF4B69" w:rsidRPr="009277F7" w:rsidRDefault="00BF4B69" w:rsidP="00BF4B69">
      <w:pPr>
        <w:ind w:left="1134"/>
        <w:jc w:val="both"/>
        <w:rPr>
          <w:rFonts w:ascii="Arial" w:hAnsi="Arial" w:cs="Arial"/>
          <w:i/>
          <w:sz w:val="32"/>
          <w:szCs w:val="32"/>
        </w:rPr>
      </w:pPr>
      <w:r w:rsidRPr="009277F7">
        <w:rPr>
          <w:rFonts w:ascii="Arial" w:hAnsi="Arial" w:cs="Arial"/>
          <w:i/>
          <w:sz w:val="32"/>
          <w:szCs w:val="32"/>
        </w:rPr>
        <w:t>Assim, ainda que tecnicamente possível uma contratação isolada dos serviços de substituição, manutenção e modernização da rede semafórica, ao ser incorporado em um contrato mais extenso, como a concessão da modernização e manutenção da rede de iluminação, verifica-se a geração de economia de escala, conforme exigido na legislação (Lei n 17.731/22).</w:t>
      </w:r>
    </w:p>
    <w:p w14:paraId="52C8671A" w14:textId="77777777" w:rsidR="00BF4B69" w:rsidRDefault="00BF4B69" w:rsidP="00BF4B69">
      <w:pPr>
        <w:jc w:val="both"/>
        <w:rPr>
          <w:rFonts w:ascii="Arial" w:hAnsi="Arial" w:cs="Arial"/>
          <w:sz w:val="32"/>
          <w:szCs w:val="32"/>
        </w:rPr>
      </w:pPr>
    </w:p>
    <w:p w14:paraId="6D2835F9" w14:textId="756F6ACE" w:rsidR="00BF4B69" w:rsidRPr="00807DF8" w:rsidRDefault="00BF4B69" w:rsidP="00BF4B69">
      <w:pPr>
        <w:ind w:firstLine="1134"/>
        <w:jc w:val="both"/>
        <w:rPr>
          <w:rFonts w:ascii="Arial" w:hAnsi="Arial" w:cs="Arial"/>
          <w:sz w:val="32"/>
          <w:szCs w:val="32"/>
        </w:rPr>
      </w:pPr>
      <w:r w:rsidRPr="00807DF8">
        <w:rPr>
          <w:rFonts w:ascii="Arial" w:hAnsi="Arial" w:cs="Arial"/>
          <w:sz w:val="32"/>
          <w:szCs w:val="32"/>
        </w:rPr>
        <w:t xml:space="preserve">A Subsecretaria de Fiscalização e </w:t>
      </w:r>
      <w:r w:rsidR="00B84AB3">
        <w:rPr>
          <w:rFonts w:ascii="Arial" w:hAnsi="Arial" w:cs="Arial"/>
          <w:sz w:val="32"/>
          <w:szCs w:val="32"/>
        </w:rPr>
        <w:t>C</w:t>
      </w:r>
      <w:r w:rsidRPr="00807DF8">
        <w:rPr>
          <w:rFonts w:ascii="Arial" w:hAnsi="Arial" w:cs="Arial"/>
          <w:sz w:val="32"/>
          <w:szCs w:val="32"/>
        </w:rPr>
        <w:t>ontrole</w:t>
      </w:r>
      <w:r w:rsidR="00B84AB3">
        <w:rPr>
          <w:rFonts w:ascii="Arial" w:hAnsi="Arial" w:cs="Arial"/>
          <w:sz w:val="32"/>
          <w:szCs w:val="32"/>
        </w:rPr>
        <w:t xml:space="preserve"> </w:t>
      </w:r>
      <w:r w:rsidR="00B84AB3" w:rsidRPr="00EE7917">
        <w:rPr>
          <w:rFonts w:ascii="Arial" w:hAnsi="Arial" w:cs="Arial"/>
          <w:sz w:val="32"/>
          <w:szCs w:val="32"/>
        </w:rPr>
        <w:t>deste Tribunal</w:t>
      </w:r>
      <w:r w:rsidRPr="00EE7917">
        <w:rPr>
          <w:rFonts w:ascii="Arial" w:hAnsi="Arial" w:cs="Arial"/>
          <w:sz w:val="32"/>
          <w:szCs w:val="32"/>
        </w:rPr>
        <w:t xml:space="preserve"> </w:t>
      </w:r>
      <w:r w:rsidRPr="00807DF8">
        <w:rPr>
          <w:rFonts w:ascii="Arial" w:hAnsi="Arial" w:cs="Arial"/>
          <w:sz w:val="32"/>
          <w:szCs w:val="32"/>
        </w:rPr>
        <w:t>entendeu que não existe a indicada acessoriedade entre os serviços, uma vez que as premissas apresentadas pela CET e pela Origem não demonstram a ocorrência deste elemento característico, sendo omisso</w:t>
      </w:r>
      <w:r w:rsidR="00B84AB3">
        <w:rPr>
          <w:rFonts w:ascii="Arial" w:hAnsi="Arial" w:cs="Arial"/>
          <w:sz w:val="32"/>
          <w:szCs w:val="32"/>
        </w:rPr>
        <w:t>s</w:t>
      </w:r>
      <w:r w:rsidRPr="00807DF8">
        <w:rPr>
          <w:rFonts w:ascii="Arial" w:hAnsi="Arial" w:cs="Arial"/>
          <w:sz w:val="32"/>
          <w:szCs w:val="32"/>
        </w:rPr>
        <w:t xml:space="preserve"> os documentos quanto </w:t>
      </w:r>
      <w:r w:rsidR="00195513">
        <w:rPr>
          <w:rFonts w:ascii="Arial" w:hAnsi="Arial" w:cs="Arial"/>
          <w:sz w:val="32"/>
          <w:szCs w:val="32"/>
        </w:rPr>
        <w:t>à</w:t>
      </w:r>
      <w:r w:rsidRPr="00807DF8">
        <w:rPr>
          <w:rFonts w:ascii="Arial" w:hAnsi="Arial" w:cs="Arial"/>
          <w:sz w:val="32"/>
          <w:szCs w:val="32"/>
        </w:rPr>
        <w:t xml:space="preserve"> sua indicação fática.</w:t>
      </w:r>
    </w:p>
    <w:p w14:paraId="3AAB7004" w14:textId="77777777" w:rsidR="00BF4B69" w:rsidRPr="009277F7" w:rsidRDefault="00BF4B69" w:rsidP="00BF4B69">
      <w:pPr>
        <w:jc w:val="both"/>
        <w:rPr>
          <w:rFonts w:ascii="Arial" w:hAnsi="Arial" w:cs="Arial"/>
          <w:sz w:val="32"/>
          <w:szCs w:val="32"/>
        </w:rPr>
      </w:pPr>
    </w:p>
    <w:p w14:paraId="5DF52C48" w14:textId="27CFB66A" w:rsidR="00BF4B69" w:rsidRPr="009277F7" w:rsidRDefault="00BF4B69" w:rsidP="00BF4B69">
      <w:pPr>
        <w:ind w:firstLine="1134"/>
        <w:jc w:val="both"/>
        <w:rPr>
          <w:rFonts w:ascii="Arial" w:hAnsi="Arial" w:cs="Arial"/>
          <w:sz w:val="32"/>
          <w:szCs w:val="32"/>
        </w:rPr>
      </w:pPr>
      <w:r w:rsidRPr="009277F7">
        <w:rPr>
          <w:rFonts w:ascii="Arial" w:hAnsi="Arial" w:cs="Arial"/>
          <w:sz w:val="32"/>
          <w:szCs w:val="32"/>
        </w:rPr>
        <w:lastRenderedPageBreak/>
        <w:t xml:space="preserve">Adicionando o posicionamento apresentado pela Origem, </w:t>
      </w:r>
      <w:r w:rsidR="00D540E6">
        <w:rPr>
          <w:rFonts w:ascii="Arial" w:hAnsi="Arial" w:cs="Arial"/>
          <w:sz w:val="32"/>
          <w:szCs w:val="32"/>
        </w:rPr>
        <w:t>entend</w:t>
      </w:r>
      <w:r w:rsidR="00925CA8">
        <w:rPr>
          <w:rFonts w:ascii="Arial" w:hAnsi="Arial" w:cs="Arial"/>
          <w:sz w:val="32"/>
          <w:szCs w:val="32"/>
        </w:rPr>
        <w:t>o</w:t>
      </w:r>
      <w:r w:rsidRPr="009277F7">
        <w:rPr>
          <w:rFonts w:ascii="Arial" w:hAnsi="Arial" w:cs="Arial"/>
          <w:sz w:val="32"/>
          <w:szCs w:val="32"/>
        </w:rPr>
        <w:t xml:space="preserve"> importante a conclusão </w:t>
      </w:r>
      <w:r w:rsidR="00925CA8">
        <w:rPr>
          <w:rFonts w:ascii="Arial" w:hAnsi="Arial" w:cs="Arial"/>
          <w:sz w:val="32"/>
          <w:szCs w:val="32"/>
        </w:rPr>
        <w:t>alcançada</w:t>
      </w:r>
      <w:r w:rsidRPr="009277F7">
        <w:rPr>
          <w:rFonts w:ascii="Arial" w:hAnsi="Arial" w:cs="Arial"/>
          <w:sz w:val="32"/>
          <w:szCs w:val="32"/>
        </w:rPr>
        <w:t xml:space="preserve"> pela Coordenadoria Geral Consultiva</w:t>
      </w:r>
      <w:r w:rsidR="00C8748F">
        <w:rPr>
          <w:rFonts w:ascii="Arial" w:hAnsi="Arial" w:cs="Arial"/>
          <w:sz w:val="32"/>
          <w:szCs w:val="32"/>
        </w:rPr>
        <w:t xml:space="preserve"> da PGM</w:t>
      </w:r>
      <w:r w:rsidRPr="009277F7">
        <w:rPr>
          <w:rFonts w:ascii="Arial" w:hAnsi="Arial" w:cs="Arial"/>
          <w:sz w:val="32"/>
          <w:szCs w:val="32"/>
        </w:rPr>
        <w:t>, em parecer anexo à resposta</w:t>
      </w:r>
      <w:r w:rsidR="00925CA8">
        <w:rPr>
          <w:rFonts w:ascii="Arial" w:hAnsi="Arial" w:cs="Arial"/>
          <w:sz w:val="32"/>
          <w:szCs w:val="32"/>
        </w:rPr>
        <w:t xml:space="preserve"> da Administraçã</w:t>
      </w:r>
      <w:r w:rsidR="001A2ABD">
        <w:rPr>
          <w:rFonts w:ascii="Arial" w:hAnsi="Arial" w:cs="Arial"/>
          <w:sz w:val="32"/>
          <w:szCs w:val="32"/>
        </w:rPr>
        <w:t>o</w:t>
      </w:r>
      <w:r w:rsidRPr="009277F7">
        <w:rPr>
          <w:rFonts w:ascii="Arial" w:hAnsi="Arial" w:cs="Arial"/>
          <w:sz w:val="32"/>
          <w:szCs w:val="32"/>
        </w:rPr>
        <w:t xml:space="preserve">. </w:t>
      </w:r>
      <w:r w:rsidR="00C8748F">
        <w:rPr>
          <w:rFonts w:ascii="Arial" w:hAnsi="Arial" w:cs="Arial"/>
          <w:sz w:val="32"/>
          <w:szCs w:val="32"/>
        </w:rPr>
        <w:t>Referido órgão jurídico da PGM</w:t>
      </w:r>
      <w:r w:rsidRPr="009277F7">
        <w:rPr>
          <w:rFonts w:ascii="Arial" w:hAnsi="Arial" w:cs="Arial"/>
          <w:sz w:val="32"/>
          <w:szCs w:val="32"/>
        </w:rPr>
        <w:t xml:space="preserve"> entende pela possibilidade de incorporação do serviço de modernização, quando observado</w:t>
      </w:r>
      <w:r w:rsidR="001F0250">
        <w:rPr>
          <w:rFonts w:ascii="Arial" w:hAnsi="Arial" w:cs="Arial"/>
          <w:sz w:val="32"/>
          <w:szCs w:val="32"/>
        </w:rPr>
        <w:t>s</w:t>
      </w:r>
      <w:r w:rsidRPr="009277F7">
        <w:rPr>
          <w:rFonts w:ascii="Arial" w:hAnsi="Arial" w:cs="Arial"/>
          <w:sz w:val="32"/>
          <w:szCs w:val="32"/>
        </w:rPr>
        <w:t xml:space="preserve"> os seguintes critérios:</w:t>
      </w:r>
    </w:p>
    <w:p w14:paraId="21B0B667" w14:textId="77777777" w:rsidR="00BF4B69" w:rsidRPr="009277F7" w:rsidRDefault="00BF4B69" w:rsidP="00BF4B69">
      <w:pPr>
        <w:jc w:val="both"/>
        <w:rPr>
          <w:rFonts w:ascii="Arial" w:hAnsi="Arial" w:cs="Arial"/>
          <w:sz w:val="32"/>
          <w:szCs w:val="32"/>
        </w:rPr>
      </w:pPr>
    </w:p>
    <w:p w14:paraId="135244A5" w14:textId="77777777" w:rsidR="00BF4B69" w:rsidRPr="009277F7" w:rsidRDefault="00BF4B69" w:rsidP="00BF4B69">
      <w:pPr>
        <w:ind w:left="1134"/>
        <w:jc w:val="both"/>
        <w:rPr>
          <w:rFonts w:ascii="Arial" w:hAnsi="Arial" w:cs="Arial"/>
          <w:i/>
          <w:sz w:val="32"/>
          <w:szCs w:val="32"/>
        </w:rPr>
      </w:pPr>
      <w:r w:rsidRPr="009277F7">
        <w:rPr>
          <w:rFonts w:ascii="Arial" w:hAnsi="Arial" w:cs="Arial"/>
          <w:i/>
          <w:sz w:val="32"/>
          <w:szCs w:val="32"/>
        </w:rPr>
        <w:t xml:space="preserve">Para tanto, para além das condições e requisitos apontados pela SMT/AJ, entende-se necessário que a Administração municipal avalie: </w:t>
      </w:r>
    </w:p>
    <w:p w14:paraId="56201C65" w14:textId="77777777" w:rsidR="00BF4B69" w:rsidRPr="009277F7" w:rsidRDefault="00BF4B69" w:rsidP="00BF4B69">
      <w:pPr>
        <w:ind w:left="1134"/>
        <w:jc w:val="both"/>
        <w:rPr>
          <w:rFonts w:ascii="Arial" w:hAnsi="Arial" w:cs="Arial"/>
          <w:i/>
          <w:sz w:val="32"/>
          <w:szCs w:val="32"/>
        </w:rPr>
      </w:pPr>
      <w:r w:rsidRPr="009277F7">
        <w:rPr>
          <w:rFonts w:ascii="Arial" w:hAnsi="Arial" w:cs="Arial"/>
          <w:i/>
          <w:sz w:val="32"/>
          <w:szCs w:val="32"/>
        </w:rPr>
        <w:t>(a) a sinergia técnica entre os modais da iluminação pública e da rede semafórica;</w:t>
      </w:r>
    </w:p>
    <w:p w14:paraId="28EE4036" w14:textId="77777777" w:rsidR="00BF4B69" w:rsidRPr="009277F7" w:rsidRDefault="00BF4B69" w:rsidP="00BF4B69">
      <w:pPr>
        <w:ind w:left="1134"/>
        <w:jc w:val="both"/>
        <w:rPr>
          <w:rFonts w:ascii="Arial" w:hAnsi="Arial" w:cs="Arial"/>
          <w:i/>
          <w:sz w:val="32"/>
          <w:szCs w:val="32"/>
        </w:rPr>
      </w:pPr>
      <w:r w:rsidRPr="009277F7">
        <w:rPr>
          <w:rFonts w:ascii="Arial" w:hAnsi="Arial" w:cs="Arial"/>
          <w:i/>
          <w:sz w:val="32"/>
          <w:szCs w:val="32"/>
        </w:rPr>
        <w:t>(b) a vantajosidade econômica da adoção desse modelo contratual;</w:t>
      </w:r>
    </w:p>
    <w:p w14:paraId="57221236" w14:textId="77777777" w:rsidR="00BF4B69" w:rsidRPr="009277F7" w:rsidRDefault="00BF4B69" w:rsidP="00BF4B69">
      <w:pPr>
        <w:ind w:left="1134"/>
        <w:jc w:val="both"/>
        <w:rPr>
          <w:rFonts w:ascii="Arial" w:hAnsi="Arial" w:cs="Arial"/>
          <w:sz w:val="32"/>
          <w:szCs w:val="32"/>
        </w:rPr>
      </w:pPr>
      <w:r w:rsidRPr="009277F7">
        <w:rPr>
          <w:rFonts w:ascii="Arial" w:hAnsi="Arial" w:cs="Arial"/>
          <w:i/>
          <w:sz w:val="32"/>
          <w:szCs w:val="32"/>
        </w:rPr>
        <w:t xml:space="preserve">(c) as condições pessoais do concessionário de iluminação pública, notadamente do que se refere a sua qualificação técnica para assumir a atividade prestacional de manutenção e modernização do parque semafórico. </w:t>
      </w:r>
    </w:p>
    <w:p w14:paraId="51217D1B" w14:textId="691DB388" w:rsidR="00BF4B69" w:rsidRPr="009277F7" w:rsidRDefault="00BF4B69" w:rsidP="00BF4B69">
      <w:pPr>
        <w:ind w:firstLine="1134"/>
        <w:jc w:val="both"/>
        <w:rPr>
          <w:rFonts w:ascii="Arial" w:hAnsi="Arial" w:cs="Arial"/>
          <w:sz w:val="32"/>
          <w:szCs w:val="32"/>
        </w:rPr>
      </w:pPr>
      <w:r w:rsidRPr="009277F7">
        <w:rPr>
          <w:rFonts w:ascii="Arial" w:hAnsi="Arial" w:cs="Arial"/>
          <w:sz w:val="32"/>
          <w:szCs w:val="32"/>
        </w:rPr>
        <w:t xml:space="preserve">Quanto </w:t>
      </w:r>
      <w:r w:rsidR="00C8748F">
        <w:rPr>
          <w:rFonts w:ascii="Arial" w:hAnsi="Arial" w:cs="Arial"/>
          <w:sz w:val="32"/>
          <w:szCs w:val="32"/>
        </w:rPr>
        <w:t>à</w:t>
      </w:r>
      <w:r w:rsidRPr="009277F7">
        <w:rPr>
          <w:rFonts w:ascii="Arial" w:hAnsi="Arial" w:cs="Arial"/>
          <w:sz w:val="32"/>
          <w:szCs w:val="32"/>
        </w:rPr>
        <w:t xml:space="preserve"> sinergia dos objetos</w:t>
      </w:r>
      <w:r w:rsidR="006F048E">
        <w:rPr>
          <w:rFonts w:ascii="Arial" w:hAnsi="Arial" w:cs="Arial"/>
          <w:sz w:val="32"/>
          <w:szCs w:val="32"/>
        </w:rPr>
        <w:t>,</w:t>
      </w:r>
      <w:r w:rsidRPr="009277F7">
        <w:rPr>
          <w:rFonts w:ascii="Arial" w:hAnsi="Arial" w:cs="Arial"/>
          <w:sz w:val="32"/>
          <w:szCs w:val="32"/>
        </w:rPr>
        <w:t xml:space="preserve"> merece destaque o estudo da CET anexado à resposta da Origem, ao firmar </w:t>
      </w:r>
      <w:r w:rsidR="00C8748F">
        <w:rPr>
          <w:rFonts w:ascii="Arial" w:hAnsi="Arial" w:cs="Arial"/>
          <w:sz w:val="32"/>
          <w:szCs w:val="32"/>
        </w:rPr>
        <w:t>o quanto segue</w:t>
      </w:r>
      <w:r w:rsidRPr="009277F7">
        <w:rPr>
          <w:rFonts w:ascii="Arial" w:hAnsi="Arial" w:cs="Arial"/>
          <w:sz w:val="32"/>
          <w:szCs w:val="32"/>
        </w:rPr>
        <w:t xml:space="preserve">: </w:t>
      </w:r>
    </w:p>
    <w:p w14:paraId="0CC94656" w14:textId="77777777" w:rsidR="00BF4B69" w:rsidRPr="009277F7" w:rsidRDefault="00BF4B69" w:rsidP="00BF4B69">
      <w:pPr>
        <w:jc w:val="both"/>
        <w:rPr>
          <w:rFonts w:ascii="Arial" w:hAnsi="Arial" w:cs="Arial"/>
          <w:sz w:val="32"/>
          <w:szCs w:val="32"/>
        </w:rPr>
      </w:pPr>
    </w:p>
    <w:p w14:paraId="209BF655" w14:textId="77777777" w:rsidR="00BF4B69" w:rsidRPr="009277F7" w:rsidRDefault="00BF4B69" w:rsidP="00BF4B69">
      <w:pPr>
        <w:ind w:left="1134"/>
        <w:jc w:val="both"/>
        <w:rPr>
          <w:rFonts w:ascii="Arial" w:hAnsi="Arial" w:cs="Arial"/>
          <w:i/>
          <w:sz w:val="32"/>
          <w:szCs w:val="32"/>
        </w:rPr>
      </w:pPr>
      <w:r w:rsidRPr="009277F7">
        <w:rPr>
          <w:rFonts w:ascii="Arial" w:hAnsi="Arial" w:cs="Arial"/>
          <w:i/>
          <w:sz w:val="32"/>
          <w:szCs w:val="32"/>
        </w:rPr>
        <w:t xml:space="preserve">De maneira geral, as matérias de elétrica e eletrônica se norteiam pelo uso da energia elétrica e circuitos eletrônicos para o desenvolvimento e criação de produtos de emprego e aplicações diárias. Contudo, o profissional eletricista se dedica às redes elétricas e circuitos, à automação na criação de componentes para diversas aplicações e na projeção de usinas de produção de energia e hidrelétricas. Já o profissional eletrônico cuida de </w:t>
      </w:r>
      <w:r w:rsidRPr="009277F7">
        <w:rPr>
          <w:rFonts w:ascii="Arial" w:hAnsi="Arial" w:cs="Arial"/>
          <w:i/>
          <w:sz w:val="32"/>
          <w:szCs w:val="32"/>
        </w:rPr>
        <w:lastRenderedPageBreak/>
        <w:t>equipamentos mais delicados, de pequenas amplitudes e frequências elevadas, considerados de baixa tensão, voltada para a projeção dos aparelhos eletrônicos e o seu processo de manutenção.</w:t>
      </w:r>
    </w:p>
    <w:p w14:paraId="1A45F159" w14:textId="77777777" w:rsidR="00BF4B69" w:rsidRPr="009277F7" w:rsidRDefault="00BF4B69" w:rsidP="00BF4B69">
      <w:pPr>
        <w:ind w:left="1134"/>
        <w:jc w:val="both"/>
        <w:rPr>
          <w:rFonts w:ascii="Arial" w:hAnsi="Arial" w:cs="Arial"/>
          <w:i/>
          <w:sz w:val="32"/>
          <w:szCs w:val="32"/>
        </w:rPr>
      </w:pPr>
      <w:r w:rsidRPr="009277F7">
        <w:rPr>
          <w:rFonts w:ascii="Arial" w:hAnsi="Arial" w:cs="Arial"/>
          <w:i/>
          <w:sz w:val="32"/>
          <w:szCs w:val="32"/>
        </w:rPr>
        <w:t>Com a supra descrição, o tema: serviços de substituição, modernização e manutenção do parque semafórico nos permite desassociar a atual proposta de serviços acessórios em três grandes agrupamentos, sendo eles:</w:t>
      </w:r>
    </w:p>
    <w:p w14:paraId="0848AE57" w14:textId="77777777" w:rsidR="00BF4B69" w:rsidRPr="009277F7" w:rsidRDefault="00BF4B69" w:rsidP="00BF4B69">
      <w:pPr>
        <w:ind w:left="1134"/>
        <w:jc w:val="both"/>
        <w:rPr>
          <w:rFonts w:ascii="Arial" w:hAnsi="Arial" w:cs="Arial"/>
          <w:b/>
          <w:i/>
          <w:sz w:val="32"/>
          <w:szCs w:val="32"/>
        </w:rPr>
      </w:pPr>
      <w:r w:rsidRPr="009277F7">
        <w:rPr>
          <w:rFonts w:ascii="Arial" w:hAnsi="Arial" w:cs="Arial"/>
          <w:b/>
          <w:i/>
          <w:sz w:val="32"/>
          <w:szCs w:val="32"/>
        </w:rPr>
        <w:t>1) Troca de peças – Substituição;</w:t>
      </w:r>
    </w:p>
    <w:p w14:paraId="6754EC43" w14:textId="77777777" w:rsidR="00BF4B69" w:rsidRPr="009277F7" w:rsidRDefault="00BF4B69" w:rsidP="00BF4B69">
      <w:pPr>
        <w:ind w:left="1134"/>
        <w:jc w:val="both"/>
        <w:rPr>
          <w:rFonts w:ascii="Arial" w:hAnsi="Arial" w:cs="Arial"/>
          <w:b/>
          <w:i/>
          <w:sz w:val="32"/>
          <w:szCs w:val="32"/>
        </w:rPr>
      </w:pPr>
      <w:r w:rsidRPr="009277F7">
        <w:rPr>
          <w:rFonts w:ascii="Arial" w:hAnsi="Arial" w:cs="Arial"/>
          <w:b/>
          <w:i/>
          <w:sz w:val="32"/>
          <w:szCs w:val="32"/>
        </w:rPr>
        <w:t>2) Atualização Tecnológica – Modernização; e</w:t>
      </w:r>
    </w:p>
    <w:p w14:paraId="3FF8AA12" w14:textId="77777777" w:rsidR="00BF4B69" w:rsidRPr="009277F7" w:rsidRDefault="00BF4B69" w:rsidP="00BF4B69">
      <w:pPr>
        <w:ind w:left="1134"/>
        <w:jc w:val="both"/>
        <w:rPr>
          <w:rFonts w:ascii="Arial" w:hAnsi="Arial" w:cs="Arial"/>
          <w:b/>
          <w:sz w:val="32"/>
          <w:szCs w:val="32"/>
        </w:rPr>
      </w:pPr>
      <w:r w:rsidRPr="009277F7">
        <w:rPr>
          <w:rFonts w:ascii="Arial" w:hAnsi="Arial" w:cs="Arial"/>
          <w:b/>
          <w:i/>
          <w:sz w:val="32"/>
          <w:szCs w:val="32"/>
        </w:rPr>
        <w:t>3) Revisão/Correção – Manuten</w:t>
      </w:r>
      <w:r w:rsidRPr="009277F7">
        <w:rPr>
          <w:rFonts w:ascii="Arial" w:hAnsi="Arial" w:cs="Arial"/>
          <w:b/>
          <w:sz w:val="32"/>
          <w:szCs w:val="32"/>
        </w:rPr>
        <w:t>ção</w:t>
      </w:r>
    </w:p>
    <w:p w14:paraId="41A14550" w14:textId="77777777" w:rsidR="00BF4B69" w:rsidRPr="009277F7" w:rsidRDefault="00BF4B69" w:rsidP="00BF4B69">
      <w:pPr>
        <w:jc w:val="both"/>
        <w:rPr>
          <w:rFonts w:ascii="Arial" w:hAnsi="Arial" w:cs="Arial"/>
          <w:sz w:val="32"/>
          <w:szCs w:val="32"/>
        </w:rPr>
      </w:pPr>
    </w:p>
    <w:p w14:paraId="62ECE08F" w14:textId="7DE4D852" w:rsidR="00BF4B69" w:rsidRPr="009277F7" w:rsidRDefault="00BF4B69" w:rsidP="00BF4B69">
      <w:pPr>
        <w:ind w:firstLine="1134"/>
        <w:jc w:val="both"/>
        <w:rPr>
          <w:rFonts w:ascii="Arial" w:hAnsi="Arial" w:cs="Arial"/>
          <w:sz w:val="32"/>
          <w:szCs w:val="32"/>
        </w:rPr>
      </w:pPr>
      <w:r w:rsidRPr="009277F7">
        <w:rPr>
          <w:rFonts w:ascii="Arial" w:hAnsi="Arial" w:cs="Arial"/>
          <w:sz w:val="32"/>
          <w:szCs w:val="32"/>
        </w:rPr>
        <w:t>Para atestar a sinergia</w:t>
      </w:r>
      <w:r w:rsidR="00FC0A04">
        <w:rPr>
          <w:rFonts w:ascii="Arial" w:hAnsi="Arial" w:cs="Arial"/>
          <w:sz w:val="32"/>
          <w:szCs w:val="32"/>
        </w:rPr>
        <w:t>,</w:t>
      </w:r>
      <w:r w:rsidRPr="009277F7">
        <w:rPr>
          <w:rFonts w:ascii="Arial" w:hAnsi="Arial" w:cs="Arial"/>
          <w:sz w:val="32"/>
          <w:szCs w:val="32"/>
        </w:rPr>
        <w:t xml:space="preserve"> a CET </w:t>
      </w:r>
      <w:r w:rsidR="00FC0A04">
        <w:rPr>
          <w:rFonts w:ascii="Arial" w:hAnsi="Arial" w:cs="Arial"/>
          <w:sz w:val="32"/>
          <w:szCs w:val="32"/>
        </w:rPr>
        <w:t xml:space="preserve">se </w:t>
      </w:r>
      <w:r w:rsidRPr="009277F7">
        <w:rPr>
          <w:rFonts w:ascii="Arial" w:hAnsi="Arial" w:cs="Arial"/>
          <w:sz w:val="32"/>
          <w:szCs w:val="32"/>
        </w:rPr>
        <w:t xml:space="preserve">utilizou do histórico de contratações anteriores e o objeto da concessão da iluminação pública, com o fito de demonstrar a </w:t>
      </w:r>
      <w:r w:rsidR="00C8748F">
        <w:rPr>
          <w:rFonts w:ascii="Arial" w:hAnsi="Arial" w:cs="Arial"/>
          <w:sz w:val="32"/>
          <w:szCs w:val="32"/>
        </w:rPr>
        <w:t>compatibilidade</w:t>
      </w:r>
      <w:r w:rsidRPr="009277F7">
        <w:rPr>
          <w:rFonts w:ascii="Arial" w:hAnsi="Arial" w:cs="Arial"/>
          <w:sz w:val="32"/>
          <w:szCs w:val="32"/>
        </w:rPr>
        <w:t xml:space="preserve"> entre os serviços,</w:t>
      </w:r>
      <w:r w:rsidR="00C8748F">
        <w:rPr>
          <w:rFonts w:ascii="Arial" w:hAnsi="Arial" w:cs="Arial"/>
          <w:sz w:val="32"/>
          <w:szCs w:val="32"/>
        </w:rPr>
        <w:t xml:space="preserve"> </w:t>
      </w:r>
      <w:r w:rsidRPr="009277F7">
        <w:rPr>
          <w:rFonts w:ascii="Arial" w:hAnsi="Arial" w:cs="Arial"/>
          <w:sz w:val="32"/>
          <w:szCs w:val="32"/>
        </w:rPr>
        <w:t>citamos:</w:t>
      </w:r>
    </w:p>
    <w:p w14:paraId="346FA744" w14:textId="77777777" w:rsidR="00BF4B69" w:rsidRPr="009277F7" w:rsidRDefault="00BF4B69" w:rsidP="00BF4B69">
      <w:pPr>
        <w:jc w:val="both"/>
        <w:rPr>
          <w:rFonts w:ascii="Arial" w:hAnsi="Arial" w:cs="Arial"/>
          <w:sz w:val="32"/>
          <w:szCs w:val="32"/>
        </w:rPr>
      </w:pPr>
    </w:p>
    <w:p w14:paraId="3A70A2F6" w14:textId="77777777" w:rsidR="00BF4B69" w:rsidRPr="009277F7" w:rsidRDefault="00BF4B69" w:rsidP="00BF4B69">
      <w:pPr>
        <w:ind w:left="1276"/>
        <w:jc w:val="both"/>
        <w:rPr>
          <w:rFonts w:ascii="Arial" w:hAnsi="Arial" w:cs="Arial"/>
          <w:i/>
          <w:sz w:val="32"/>
          <w:szCs w:val="32"/>
        </w:rPr>
      </w:pPr>
      <w:r w:rsidRPr="009277F7">
        <w:rPr>
          <w:rFonts w:ascii="Arial" w:hAnsi="Arial" w:cs="Arial"/>
          <w:i/>
          <w:sz w:val="32"/>
          <w:szCs w:val="32"/>
        </w:rPr>
        <w:t xml:space="preserve">Vale ressaltar que atualmente um dos grandes desafios combatidos pela Administração Municipal advém do </w:t>
      </w:r>
      <w:r w:rsidRPr="009277F7">
        <w:rPr>
          <w:rFonts w:ascii="Arial" w:hAnsi="Arial" w:cs="Arial"/>
          <w:b/>
          <w:i/>
          <w:sz w:val="32"/>
          <w:szCs w:val="32"/>
        </w:rPr>
        <w:t>furto de cabos</w:t>
      </w:r>
      <w:r w:rsidRPr="009277F7">
        <w:rPr>
          <w:rFonts w:ascii="Arial" w:hAnsi="Arial" w:cs="Arial"/>
          <w:i/>
          <w:sz w:val="32"/>
          <w:szCs w:val="32"/>
        </w:rPr>
        <w:t xml:space="preserve"> que energizam os pontos de iluminação e o parque semafórico da malha viária. Em similitude de alocação de riscos, caso a Administração opte em associar os serviços de manutenção da rede semafórica ao contrato atual de iluminação pública, </w:t>
      </w:r>
      <w:r w:rsidRPr="00807DF8">
        <w:rPr>
          <w:rFonts w:ascii="Arial" w:hAnsi="Arial" w:cs="Arial"/>
          <w:i/>
          <w:sz w:val="32"/>
          <w:szCs w:val="32"/>
        </w:rPr>
        <w:t xml:space="preserve">nos é consentido estimar </w:t>
      </w:r>
      <w:r w:rsidRPr="009277F7">
        <w:rPr>
          <w:rFonts w:ascii="Arial" w:hAnsi="Arial" w:cs="Arial"/>
          <w:i/>
          <w:sz w:val="32"/>
          <w:szCs w:val="32"/>
        </w:rPr>
        <w:t>uma economia ao erário, confrontado ao modelo presente de contratação dos serviços de manutenção do Parque Semafórico, em virtude da assunção de riscos externos – e.g. furtos – pela concessionária de serviços públicos.</w:t>
      </w:r>
    </w:p>
    <w:p w14:paraId="0E28873E" w14:textId="77777777" w:rsidR="00BF4B69" w:rsidRPr="009277F7" w:rsidRDefault="00BF4B69" w:rsidP="00BF4B69">
      <w:pPr>
        <w:ind w:left="1276"/>
        <w:jc w:val="both"/>
        <w:rPr>
          <w:rFonts w:ascii="Arial" w:hAnsi="Arial" w:cs="Arial"/>
          <w:i/>
          <w:sz w:val="32"/>
          <w:szCs w:val="32"/>
        </w:rPr>
      </w:pPr>
      <w:r w:rsidRPr="009277F7">
        <w:rPr>
          <w:rFonts w:ascii="Arial" w:hAnsi="Arial" w:cs="Arial"/>
          <w:i/>
          <w:sz w:val="32"/>
          <w:szCs w:val="32"/>
        </w:rPr>
        <w:lastRenderedPageBreak/>
        <w:t>Por fim, é importante destacar a sinergia operacional. Os serviços de manutenção, seja preventiva, seja corretiva, tem indiscutível conexão. Tanto a manutenção da rede de iluminação pública quanto a da rede semafórica exigem o deslocamento físico de equipes técnicas contendo pessoas habilitadas a prestar serviços de elétrica; planejamento desse deslocamento; e, muitas vezes, o uso de caminhões com equipamento apropriado para elevação.</w:t>
      </w:r>
    </w:p>
    <w:p w14:paraId="43D92120" w14:textId="77777777" w:rsidR="00BF4B69" w:rsidRPr="009277F7" w:rsidRDefault="00BF4B69" w:rsidP="00BF4B69">
      <w:pPr>
        <w:ind w:left="1276"/>
        <w:jc w:val="both"/>
        <w:rPr>
          <w:rFonts w:ascii="Arial" w:hAnsi="Arial" w:cs="Arial"/>
          <w:i/>
          <w:sz w:val="32"/>
          <w:szCs w:val="32"/>
        </w:rPr>
      </w:pPr>
      <w:r w:rsidRPr="009277F7">
        <w:rPr>
          <w:rFonts w:ascii="Arial" w:hAnsi="Arial" w:cs="Arial"/>
          <w:i/>
          <w:sz w:val="32"/>
          <w:szCs w:val="32"/>
        </w:rPr>
        <w:t>Logo, concluímos haver indiscutível sinergia dos serviços ora contratados de Modernização, Otimização, Expansão, Operação, Manutenção e Controle Remoto em Tempo Real da Infraestrutura da Rede de Iluminação Pública do Município de São Paulo com os Serviços de Modernização e Manutenção dos Sistemas de Controle Semafórico da Cidade de São Paulo.</w:t>
      </w:r>
    </w:p>
    <w:p w14:paraId="7BD8AD07" w14:textId="77777777" w:rsidR="00BF4B69" w:rsidRPr="009277F7" w:rsidRDefault="00BF4B69" w:rsidP="00BF4B69">
      <w:pPr>
        <w:ind w:left="1276"/>
        <w:jc w:val="both"/>
        <w:rPr>
          <w:rFonts w:ascii="Arial" w:hAnsi="Arial" w:cs="Arial"/>
          <w:b/>
          <w:i/>
          <w:sz w:val="32"/>
          <w:szCs w:val="32"/>
        </w:rPr>
      </w:pPr>
      <w:r w:rsidRPr="009277F7">
        <w:rPr>
          <w:rFonts w:ascii="Arial" w:hAnsi="Arial" w:cs="Arial"/>
          <w:b/>
          <w:i/>
          <w:sz w:val="32"/>
          <w:szCs w:val="32"/>
        </w:rPr>
        <w:t xml:space="preserve">Quanto ao caráter assessório da rede de semafórica em relação à rede de iluminação, esse se evidencia pela dimensão dos serviços. </w:t>
      </w:r>
    </w:p>
    <w:p w14:paraId="4272CEAB" w14:textId="77777777" w:rsidR="00BF4B69" w:rsidRDefault="00BF4B69" w:rsidP="00BF4B69">
      <w:pPr>
        <w:ind w:firstLine="1134"/>
        <w:jc w:val="both"/>
        <w:rPr>
          <w:rFonts w:ascii="Arial" w:hAnsi="Arial" w:cs="Arial"/>
          <w:sz w:val="32"/>
          <w:szCs w:val="32"/>
        </w:rPr>
      </w:pPr>
    </w:p>
    <w:p w14:paraId="496F49F7" w14:textId="3F604EA0" w:rsidR="003C5053" w:rsidRPr="00807DF8" w:rsidRDefault="003C5053" w:rsidP="00BF4B69">
      <w:pPr>
        <w:ind w:firstLine="1134"/>
        <w:jc w:val="both"/>
        <w:rPr>
          <w:rFonts w:ascii="Arial" w:hAnsi="Arial" w:cs="Arial"/>
          <w:sz w:val="32"/>
          <w:szCs w:val="32"/>
        </w:rPr>
      </w:pPr>
      <w:r w:rsidRPr="00807DF8">
        <w:rPr>
          <w:rFonts w:ascii="Arial" w:hAnsi="Arial" w:cs="Arial"/>
          <w:sz w:val="32"/>
          <w:szCs w:val="32"/>
        </w:rPr>
        <w:t xml:space="preserve">É importante ter em conta que CET detém </w:t>
      </w:r>
      <w:r w:rsidR="00A178D8">
        <w:rPr>
          <w:rFonts w:ascii="Arial" w:hAnsi="Arial" w:cs="Arial"/>
          <w:sz w:val="32"/>
          <w:szCs w:val="32"/>
        </w:rPr>
        <w:t>a</w:t>
      </w:r>
      <w:r w:rsidRPr="00807DF8">
        <w:rPr>
          <w:rFonts w:ascii="Arial" w:hAnsi="Arial" w:cs="Arial"/>
          <w:sz w:val="32"/>
          <w:szCs w:val="32"/>
        </w:rPr>
        <w:t xml:space="preserve"> expertise</w:t>
      </w:r>
      <w:r w:rsidR="00A178D8">
        <w:rPr>
          <w:rFonts w:ascii="Arial" w:hAnsi="Arial" w:cs="Arial"/>
          <w:sz w:val="32"/>
          <w:szCs w:val="32"/>
        </w:rPr>
        <w:t xml:space="preserve">, </w:t>
      </w:r>
      <w:r w:rsidRPr="00807DF8">
        <w:rPr>
          <w:rFonts w:ascii="Arial" w:hAnsi="Arial" w:cs="Arial"/>
          <w:sz w:val="32"/>
          <w:szCs w:val="32"/>
        </w:rPr>
        <w:t>reconhecid</w:t>
      </w:r>
      <w:r w:rsidR="00A178D8">
        <w:rPr>
          <w:rFonts w:ascii="Arial" w:hAnsi="Arial" w:cs="Arial"/>
          <w:sz w:val="32"/>
          <w:szCs w:val="32"/>
        </w:rPr>
        <w:t>a</w:t>
      </w:r>
      <w:r w:rsidRPr="00807DF8">
        <w:rPr>
          <w:rFonts w:ascii="Arial" w:hAnsi="Arial" w:cs="Arial"/>
          <w:sz w:val="32"/>
          <w:szCs w:val="32"/>
        </w:rPr>
        <w:t xml:space="preserve"> ao longo do tempo de sua existência</w:t>
      </w:r>
      <w:r w:rsidR="00A178D8">
        <w:rPr>
          <w:rFonts w:ascii="Arial" w:hAnsi="Arial" w:cs="Arial"/>
          <w:sz w:val="32"/>
          <w:szCs w:val="32"/>
        </w:rPr>
        <w:t>,</w:t>
      </w:r>
      <w:r w:rsidRPr="00807DF8">
        <w:rPr>
          <w:rFonts w:ascii="Arial" w:hAnsi="Arial" w:cs="Arial"/>
          <w:sz w:val="32"/>
          <w:szCs w:val="32"/>
        </w:rPr>
        <w:t xml:space="preserve"> para atestar com propriedade a ace</w:t>
      </w:r>
      <w:r w:rsidR="00807DF8" w:rsidRPr="00807DF8">
        <w:rPr>
          <w:rFonts w:ascii="Arial" w:hAnsi="Arial" w:cs="Arial"/>
          <w:sz w:val="32"/>
          <w:szCs w:val="32"/>
        </w:rPr>
        <w:t>sso</w:t>
      </w:r>
      <w:r w:rsidRPr="00807DF8">
        <w:rPr>
          <w:rFonts w:ascii="Arial" w:hAnsi="Arial" w:cs="Arial"/>
          <w:sz w:val="32"/>
          <w:szCs w:val="32"/>
        </w:rPr>
        <w:t>riedade do parque semafórico em relação à iluminação pública.</w:t>
      </w:r>
    </w:p>
    <w:p w14:paraId="4D756C62" w14:textId="3C527A82" w:rsidR="003C5053" w:rsidRPr="00807DF8" w:rsidRDefault="003C5053" w:rsidP="00BF4B69">
      <w:pPr>
        <w:ind w:firstLine="1134"/>
        <w:jc w:val="both"/>
        <w:rPr>
          <w:rFonts w:ascii="Arial" w:hAnsi="Arial" w:cs="Arial"/>
          <w:sz w:val="32"/>
          <w:szCs w:val="32"/>
        </w:rPr>
      </w:pPr>
      <w:r w:rsidRPr="00807DF8">
        <w:rPr>
          <w:rFonts w:ascii="Arial" w:hAnsi="Arial" w:cs="Arial"/>
          <w:sz w:val="32"/>
          <w:szCs w:val="32"/>
        </w:rPr>
        <w:t>Ademais,</w:t>
      </w:r>
      <w:r w:rsidR="00807DF8" w:rsidRPr="00807DF8">
        <w:rPr>
          <w:rFonts w:ascii="Arial" w:hAnsi="Arial" w:cs="Arial"/>
          <w:sz w:val="32"/>
          <w:szCs w:val="32"/>
        </w:rPr>
        <w:t xml:space="preserve"> os</w:t>
      </w:r>
      <w:r w:rsidR="00C8748F" w:rsidRPr="00807DF8">
        <w:rPr>
          <w:rFonts w:ascii="Arial" w:hAnsi="Arial" w:cs="Arial"/>
          <w:sz w:val="32"/>
          <w:szCs w:val="32"/>
        </w:rPr>
        <w:t xml:space="preserve"> argumentos da </w:t>
      </w:r>
      <w:r w:rsidR="00734BB9">
        <w:rPr>
          <w:rFonts w:ascii="Arial" w:hAnsi="Arial" w:cs="Arial"/>
          <w:sz w:val="32"/>
          <w:szCs w:val="32"/>
        </w:rPr>
        <w:t>E</w:t>
      </w:r>
      <w:r w:rsidR="00C8748F" w:rsidRPr="00807DF8">
        <w:rPr>
          <w:rFonts w:ascii="Arial" w:hAnsi="Arial" w:cs="Arial"/>
          <w:sz w:val="32"/>
          <w:szCs w:val="32"/>
        </w:rPr>
        <w:t xml:space="preserve">quipe de </w:t>
      </w:r>
      <w:r w:rsidR="00734BB9">
        <w:rPr>
          <w:rFonts w:ascii="Arial" w:hAnsi="Arial" w:cs="Arial"/>
          <w:sz w:val="32"/>
          <w:szCs w:val="32"/>
        </w:rPr>
        <w:t>A</w:t>
      </w:r>
      <w:r w:rsidR="00C8748F" w:rsidRPr="00807DF8">
        <w:rPr>
          <w:rFonts w:ascii="Arial" w:hAnsi="Arial" w:cs="Arial"/>
          <w:sz w:val="32"/>
          <w:szCs w:val="32"/>
        </w:rPr>
        <w:t>poio desta Corte de Contas não foram empíricos. A demasiada subjetividade dos argumentos não nos permite</w:t>
      </w:r>
      <w:r w:rsidR="00734BB9">
        <w:rPr>
          <w:rFonts w:ascii="Arial" w:hAnsi="Arial" w:cs="Arial"/>
          <w:sz w:val="32"/>
          <w:szCs w:val="32"/>
        </w:rPr>
        <w:t xml:space="preserve">, </w:t>
      </w:r>
      <w:r w:rsidR="00C8748F" w:rsidRPr="00807DF8">
        <w:rPr>
          <w:rFonts w:ascii="Arial" w:hAnsi="Arial" w:cs="Arial"/>
          <w:sz w:val="32"/>
          <w:szCs w:val="32"/>
        </w:rPr>
        <w:t>de maneira objetiva</w:t>
      </w:r>
      <w:r w:rsidR="00734BB9">
        <w:rPr>
          <w:rFonts w:ascii="Arial" w:hAnsi="Arial" w:cs="Arial"/>
          <w:sz w:val="32"/>
          <w:szCs w:val="32"/>
        </w:rPr>
        <w:t>,</w:t>
      </w:r>
      <w:r w:rsidR="00C8748F" w:rsidRPr="00807DF8">
        <w:rPr>
          <w:rFonts w:ascii="Arial" w:hAnsi="Arial" w:cs="Arial"/>
          <w:sz w:val="32"/>
          <w:szCs w:val="32"/>
        </w:rPr>
        <w:t xml:space="preserve"> realizar comparações</w:t>
      </w:r>
      <w:r w:rsidRPr="00807DF8">
        <w:rPr>
          <w:rFonts w:ascii="Arial" w:hAnsi="Arial" w:cs="Arial"/>
          <w:sz w:val="32"/>
          <w:szCs w:val="32"/>
        </w:rPr>
        <w:t>.</w:t>
      </w:r>
    </w:p>
    <w:p w14:paraId="2CCBDBC5" w14:textId="77777777" w:rsidR="00BF4B69" w:rsidRPr="00807DF8" w:rsidRDefault="00C8748F" w:rsidP="003C5053">
      <w:pPr>
        <w:ind w:firstLine="1134"/>
        <w:jc w:val="both"/>
        <w:rPr>
          <w:rFonts w:ascii="Arial" w:hAnsi="Arial" w:cs="Arial"/>
          <w:sz w:val="32"/>
          <w:szCs w:val="32"/>
        </w:rPr>
      </w:pPr>
      <w:r w:rsidRPr="00807DF8">
        <w:rPr>
          <w:rFonts w:ascii="Arial" w:hAnsi="Arial" w:cs="Arial"/>
          <w:sz w:val="32"/>
          <w:szCs w:val="32"/>
        </w:rPr>
        <w:t xml:space="preserve"> </w:t>
      </w:r>
      <w:r w:rsidR="003C5053" w:rsidRPr="00807DF8">
        <w:rPr>
          <w:rFonts w:ascii="Arial" w:hAnsi="Arial" w:cs="Arial"/>
          <w:sz w:val="32"/>
          <w:szCs w:val="32"/>
        </w:rPr>
        <w:t>A</w:t>
      </w:r>
      <w:r w:rsidRPr="00807DF8">
        <w:rPr>
          <w:rFonts w:ascii="Arial" w:hAnsi="Arial" w:cs="Arial"/>
          <w:sz w:val="32"/>
          <w:szCs w:val="32"/>
        </w:rPr>
        <w:t xml:space="preserve">ssim, </w:t>
      </w:r>
      <w:r w:rsidR="003C5053" w:rsidRPr="00807DF8">
        <w:rPr>
          <w:rFonts w:ascii="Arial" w:hAnsi="Arial" w:cs="Arial"/>
          <w:sz w:val="32"/>
          <w:szCs w:val="32"/>
        </w:rPr>
        <w:t xml:space="preserve">considerando </w:t>
      </w:r>
      <w:r w:rsidRPr="00807DF8">
        <w:rPr>
          <w:rFonts w:ascii="Arial" w:hAnsi="Arial" w:cs="Arial"/>
          <w:sz w:val="32"/>
          <w:szCs w:val="32"/>
        </w:rPr>
        <w:t xml:space="preserve">os indicativos técnicos </w:t>
      </w:r>
      <w:r w:rsidR="00BF4B69" w:rsidRPr="00807DF8">
        <w:rPr>
          <w:rFonts w:ascii="Arial" w:hAnsi="Arial" w:cs="Arial"/>
          <w:sz w:val="32"/>
          <w:szCs w:val="32"/>
        </w:rPr>
        <w:t xml:space="preserve">apresentados pela </w:t>
      </w:r>
      <w:r w:rsidR="003C5053" w:rsidRPr="00807DF8">
        <w:rPr>
          <w:rFonts w:ascii="Arial" w:hAnsi="Arial" w:cs="Arial"/>
          <w:sz w:val="32"/>
          <w:szCs w:val="32"/>
        </w:rPr>
        <w:t xml:space="preserve">CET e o princípio da especialidade, as </w:t>
      </w:r>
      <w:r w:rsidR="003C5053" w:rsidRPr="00807DF8">
        <w:rPr>
          <w:rFonts w:ascii="Arial" w:hAnsi="Arial" w:cs="Arial"/>
          <w:sz w:val="32"/>
          <w:szCs w:val="32"/>
        </w:rPr>
        <w:lastRenderedPageBreak/>
        <w:t>conclusões daquele órgão</w:t>
      </w:r>
      <w:r w:rsidRPr="00807DF8">
        <w:rPr>
          <w:rFonts w:ascii="Arial" w:hAnsi="Arial" w:cs="Arial"/>
          <w:sz w:val="32"/>
          <w:szCs w:val="32"/>
        </w:rPr>
        <w:t xml:space="preserve"> </w:t>
      </w:r>
      <w:r w:rsidR="003C5053" w:rsidRPr="00807DF8">
        <w:rPr>
          <w:rFonts w:ascii="Arial" w:hAnsi="Arial" w:cs="Arial"/>
          <w:sz w:val="32"/>
          <w:szCs w:val="32"/>
        </w:rPr>
        <w:t xml:space="preserve">ganham relevância para nortear a decisão deste Colegiado, permitindo-se a conclusão pela </w:t>
      </w:r>
      <w:r w:rsidR="00BF4B69" w:rsidRPr="00807DF8">
        <w:rPr>
          <w:rFonts w:ascii="Arial" w:hAnsi="Arial" w:cs="Arial"/>
          <w:sz w:val="32"/>
          <w:szCs w:val="32"/>
        </w:rPr>
        <w:t>caracteriza</w:t>
      </w:r>
      <w:r w:rsidR="003C5053" w:rsidRPr="00807DF8">
        <w:rPr>
          <w:rFonts w:ascii="Arial" w:hAnsi="Arial" w:cs="Arial"/>
          <w:sz w:val="32"/>
          <w:szCs w:val="32"/>
        </w:rPr>
        <w:t>ção</w:t>
      </w:r>
      <w:r w:rsidR="00BF4B69" w:rsidRPr="00807DF8">
        <w:rPr>
          <w:rFonts w:ascii="Arial" w:hAnsi="Arial" w:cs="Arial"/>
          <w:sz w:val="32"/>
          <w:szCs w:val="32"/>
        </w:rPr>
        <w:t xml:space="preserve"> </w:t>
      </w:r>
      <w:r w:rsidR="003C5053" w:rsidRPr="00807DF8">
        <w:rPr>
          <w:rFonts w:ascii="Arial" w:hAnsi="Arial" w:cs="Arial"/>
          <w:sz w:val="32"/>
          <w:szCs w:val="32"/>
        </w:rPr>
        <w:t>d</w:t>
      </w:r>
      <w:r w:rsidR="00BF4B69" w:rsidRPr="00807DF8">
        <w:rPr>
          <w:rFonts w:ascii="Arial" w:hAnsi="Arial" w:cs="Arial"/>
          <w:sz w:val="32"/>
          <w:szCs w:val="32"/>
        </w:rPr>
        <w:t>a acessoriedade do parque semafórico ao contrato de iluminação pública</w:t>
      </w:r>
      <w:r w:rsidR="003C5053" w:rsidRPr="00807DF8">
        <w:rPr>
          <w:rFonts w:ascii="Arial" w:hAnsi="Arial" w:cs="Arial"/>
          <w:sz w:val="32"/>
          <w:szCs w:val="32"/>
        </w:rPr>
        <w:t xml:space="preserve">, restando também demonstrada </w:t>
      </w:r>
      <w:r w:rsidR="00BF4B69" w:rsidRPr="00807DF8">
        <w:rPr>
          <w:rFonts w:ascii="Arial" w:hAnsi="Arial" w:cs="Arial"/>
          <w:sz w:val="32"/>
          <w:szCs w:val="32"/>
        </w:rPr>
        <w:t xml:space="preserve">a sinergia entre os objetos expostos </w:t>
      </w:r>
      <w:r w:rsidR="003C5053" w:rsidRPr="00807DF8">
        <w:rPr>
          <w:rFonts w:ascii="Arial" w:hAnsi="Arial" w:cs="Arial"/>
          <w:sz w:val="32"/>
          <w:szCs w:val="32"/>
        </w:rPr>
        <w:t>aptos a</w:t>
      </w:r>
      <w:r w:rsidR="00BF4B69" w:rsidRPr="00807DF8">
        <w:rPr>
          <w:rFonts w:ascii="Arial" w:hAnsi="Arial" w:cs="Arial"/>
          <w:sz w:val="32"/>
          <w:szCs w:val="32"/>
        </w:rPr>
        <w:t xml:space="preserve"> ingressar ao contrato de iluminação pública. </w:t>
      </w:r>
    </w:p>
    <w:p w14:paraId="23BAEB30" w14:textId="77777777" w:rsidR="00D468A7" w:rsidRPr="009277F7" w:rsidRDefault="00D468A7" w:rsidP="00F70E89">
      <w:pPr>
        <w:jc w:val="both"/>
        <w:rPr>
          <w:rFonts w:ascii="Arial" w:hAnsi="Arial" w:cs="Arial"/>
          <w:sz w:val="32"/>
          <w:szCs w:val="32"/>
        </w:rPr>
      </w:pPr>
    </w:p>
    <w:p w14:paraId="54DD4303" w14:textId="77777777" w:rsidR="00D468A7" w:rsidRPr="009277F7" w:rsidRDefault="00303E17" w:rsidP="00F70E89">
      <w:pPr>
        <w:jc w:val="both"/>
        <w:rPr>
          <w:rFonts w:ascii="Arial" w:hAnsi="Arial" w:cs="Arial"/>
          <w:b/>
          <w:sz w:val="32"/>
          <w:szCs w:val="32"/>
        </w:rPr>
      </w:pPr>
      <w:bookmarkStart w:id="5" w:name="_Hlk109894465"/>
      <w:r>
        <w:rPr>
          <w:rFonts w:ascii="Arial" w:hAnsi="Arial" w:cs="Arial"/>
          <w:b/>
          <w:sz w:val="32"/>
          <w:szCs w:val="32"/>
        </w:rPr>
        <w:t>2.4</w:t>
      </w:r>
      <w:r w:rsidR="00D468A7" w:rsidRPr="009277F7">
        <w:rPr>
          <w:rFonts w:ascii="Arial" w:hAnsi="Arial" w:cs="Arial"/>
          <w:b/>
          <w:sz w:val="32"/>
          <w:szCs w:val="32"/>
        </w:rPr>
        <w:t xml:space="preserve"> – Demonstração da economicidade da inclusão dos serviços pretendidos na PPP de iluminação em relação à (i) substituição, (ii) modernização e (iii) manutenção do parque semafórico, contrastando esta opção com a contratação desses serviços por meio de licitação específica. </w:t>
      </w:r>
    </w:p>
    <w:bookmarkEnd w:id="5"/>
    <w:p w14:paraId="4760BB3B" w14:textId="77777777" w:rsidR="00FC75EF" w:rsidRPr="00DA27E4" w:rsidRDefault="00FC75EF" w:rsidP="007503AC">
      <w:pPr>
        <w:ind w:firstLine="708"/>
        <w:jc w:val="both"/>
        <w:rPr>
          <w:rFonts w:ascii="Arial" w:eastAsia="Times New Roman" w:hAnsi="Arial" w:cs="Arial"/>
          <w:sz w:val="32"/>
          <w:szCs w:val="32"/>
        </w:rPr>
      </w:pPr>
      <w:r w:rsidRPr="00DA27E4">
        <w:rPr>
          <w:rFonts w:ascii="Arial" w:eastAsia="Times New Roman" w:hAnsi="Arial" w:cs="Arial"/>
          <w:sz w:val="32"/>
          <w:szCs w:val="32"/>
        </w:rPr>
        <w:t xml:space="preserve">A SP Regula e a Companhia de Engenharia de Tráfego, com base em nota técnica e nota de esclarecimento da SP Parcerias, sustentam que a proposta da Concessionária é mais econômica e vantajosa em relação aos preços da CET em junho de 2021. </w:t>
      </w:r>
    </w:p>
    <w:p w14:paraId="64FBAAE9" w14:textId="77777777" w:rsidR="00FC75EF" w:rsidRPr="00DA27E4" w:rsidRDefault="00FC75EF" w:rsidP="007503AC">
      <w:pPr>
        <w:ind w:firstLine="708"/>
        <w:jc w:val="both"/>
        <w:rPr>
          <w:rFonts w:ascii="Arial" w:eastAsia="Times New Roman" w:hAnsi="Arial" w:cs="Arial"/>
          <w:sz w:val="32"/>
          <w:szCs w:val="32"/>
        </w:rPr>
      </w:pPr>
      <w:r w:rsidRPr="00DA27E4">
        <w:rPr>
          <w:rFonts w:ascii="Arial" w:eastAsia="Times New Roman" w:hAnsi="Arial" w:cs="Arial"/>
          <w:sz w:val="32"/>
          <w:szCs w:val="32"/>
        </w:rPr>
        <w:t xml:space="preserve">Para tal conclusão, a SP Parcerias simulou cenários de “Value for Money” entre a proposta de incorporação dos serviços pela Ilumina e uma contratação tradicional realizada pela Prefeitura. </w:t>
      </w:r>
    </w:p>
    <w:p w14:paraId="25D89CBD" w14:textId="77777777" w:rsidR="00FC75EF" w:rsidRPr="00DA27E4" w:rsidRDefault="00FC75EF" w:rsidP="00421BEC">
      <w:pPr>
        <w:ind w:firstLine="708"/>
        <w:jc w:val="both"/>
        <w:rPr>
          <w:rFonts w:ascii="Arial" w:eastAsia="Times New Roman" w:hAnsi="Arial" w:cs="Arial"/>
          <w:sz w:val="32"/>
          <w:szCs w:val="32"/>
        </w:rPr>
      </w:pPr>
      <w:r>
        <w:rPr>
          <w:rFonts w:ascii="Arial" w:eastAsia="Times New Roman" w:hAnsi="Arial" w:cs="Arial"/>
          <w:sz w:val="32"/>
          <w:szCs w:val="32"/>
        </w:rPr>
        <w:t>De acordo com a Origem, na</w:t>
      </w:r>
      <w:r w:rsidRPr="00DA27E4">
        <w:rPr>
          <w:rFonts w:ascii="Arial" w:eastAsia="Times New Roman" w:hAnsi="Arial" w:cs="Arial"/>
          <w:sz w:val="32"/>
          <w:szCs w:val="32"/>
        </w:rPr>
        <w:t xml:space="preserve"> avaliação Value for Money realizada, </w:t>
      </w:r>
      <w:r w:rsidRPr="00E1484B">
        <w:rPr>
          <w:rFonts w:ascii="Arial" w:eastAsia="Times New Roman" w:hAnsi="Arial" w:cs="Arial"/>
          <w:sz w:val="32"/>
          <w:szCs w:val="32"/>
        </w:rPr>
        <w:t>alguns elementos foram considerados como despesas estimadas pela Ilumina SP sem</w:t>
      </w:r>
      <w:r w:rsidRPr="00DA27E4">
        <w:rPr>
          <w:rFonts w:ascii="Arial" w:eastAsia="Times New Roman" w:hAnsi="Arial" w:cs="Arial"/>
          <w:sz w:val="32"/>
          <w:szCs w:val="32"/>
        </w:rPr>
        <w:t xml:space="preserve"> terem sido orçadas nas estimativas iniciais da CET: a reposição do material semafórico, que não havia sido orçado inicialmente pela CET tendo em vista o prazo contratual; itens de segurança pública, furtos e acidentes; e energia elétrica. </w:t>
      </w:r>
    </w:p>
    <w:p w14:paraId="0201CE50" w14:textId="77777777" w:rsidR="00FC75EF" w:rsidRPr="00DA27E4" w:rsidRDefault="00FC75EF" w:rsidP="006317E3">
      <w:pPr>
        <w:ind w:firstLine="708"/>
        <w:jc w:val="both"/>
        <w:rPr>
          <w:rFonts w:ascii="Arial" w:eastAsia="Times New Roman" w:hAnsi="Arial" w:cs="Arial"/>
          <w:sz w:val="32"/>
          <w:szCs w:val="32"/>
        </w:rPr>
      </w:pPr>
      <w:r w:rsidRPr="00DA27E4">
        <w:rPr>
          <w:rFonts w:ascii="Arial" w:eastAsia="Times New Roman" w:hAnsi="Arial" w:cs="Arial"/>
          <w:sz w:val="32"/>
          <w:szCs w:val="32"/>
        </w:rPr>
        <w:t xml:space="preserve">A SP Parcerias informa que, em relação aos itens de segurança pública, a Prefeitura sugeriu a instalação de câmeras de detecção automática de incidentes nos postes </w:t>
      </w:r>
      <w:r w:rsidRPr="00DA27E4">
        <w:rPr>
          <w:rFonts w:ascii="Arial" w:eastAsia="Times New Roman" w:hAnsi="Arial" w:cs="Arial"/>
          <w:sz w:val="32"/>
          <w:szCs w:val="32"/>
        </w:rPr>
        <w:lastRenderedPageBreak/>
        <w:t xml:space="preserve">de semáforos, o que, em tese, iria ao encontro da sinergia entre iluminação pública e semáforos, acarretando ganhos de escala em investimentos e operações. </w:t>
      </w:r>
    </w:p>
    <w:p w14:paraId="1A5489C3" w14:textId="77777777" w:rsidR="00FC75EF" w:rsidRPr="00DA27E4" w:rsidRDefault="00FC75EF" w:rsidP="006317E3">
      <w:pPr>
        <w:ind w:firstLine="708"/>
        <w:jc w:val="both"/>
        <w:rPr>
          <w:rFonts w:ascii="Arial" w:eastAsia="Times New Roman" w:hAnsi="Arial" w:cs="Arial"/>
          <w:sz w:val="32"/>
          <w:szCs w:val="32"/>
        </w:rPr>
      </w:pPr>
      <w:r w:rsidRPr="00DA27E4">
        <w:rPr>
          <w:rFonts w:ascii="Arial" w:eastAsia="Times New Roman" w:hAnsi="Arial" w:cs="Arial"/>
          <w:sz w:val="32"/>
          <w:szCs w:val="32"/>
        </w:rPr>
        <w:t>O estudo da SP Parcerias traz os seguintes dados:</w:t>
      </w:r>
    </w:p>
    <w:p w14:paraId="3835C83F" w14:textId="77777777" w:rsidR="00FC75EF" w:rsidRPr="00DA27E4" w:rsidRDefault="003C5053" w:rsidP="00FC75EF">
      <w:pPr>
        <w:ind w:left="1134"/>
        <w:jc w:val="both"/>
        <w:rPr>
          <w:rFonts w:ascii="Arial" w:eastAsia="Times New Roman" w:hAnsi="Arial" w:cs="Arial"/>
          <w:i/>
          <w:sz w:val="32"/>
          <w:szCs w:val="32"/>
        </w:rPr>
      </w:pPr>
      <w:r>
        <w:rPr>
          <w:rFonts w:ascii="Arial" w:eastAsia="Times New Roman" w:hAnsi="Arial" w:cs="Arial"/>
          <w:i/>
          <w:sz w:val="32"/>
          <w:szCs w:val="32"/>
        </w:rPr>
        <w:t>(...)</w:t>
      </w:r>
      <w:r w:rsidR="00FC75EF" w:rsidRPr="00DA27E4">
        <w:rPr>
          <w:rFonts w:ascii="Arial" w:eastAsia="Times New Roman" w:hAnsi="Arial" w:cs="Arial"/>
          <w:i/>
          <w:sz w:val="32"/>
          <w:szCs w:val="32"/>
        </w:rPr>
        <w:t xml:space="preserve"> os furtos e acidentes oneraram a Prefeitura Municipal de São Paulo em R$11,5 milhões em 2020 conforme dados CET. Ao passo que energia elétrica tem custo mensal de R$ 585 mil, conforme apontou a consultoria GO. O quadro a seguir apresenta o resultado nos cenários de 212 meses, com taxa de desconto de 9,53%. O resultado da SP Parcerias foi um VfM de 21,4%, indicando a vantajosidade da proposta ILUMINA SP, condicional a implementação e compra das câmeras, reinvestimento, custeamento da energia elétrica, incorporação dos riscos de vandalismo e furto, etc.</w:t>
      </w:r>
    </w:p>
    <w:p w14:paraId="024FF188" w14:textId="77777777" w:rsidR="00FC75EF" w:rsidRPr="00DA27E4" w:rsidRDefault="00FC75EF" w:rsidP="00FC75EF">
      <w:pPr>
        <w:ind w:left="1134"/>
        <w:jc w:val="both"/>
        <w:rPr>
          <w:rFonts w:ascii="Arial" w:eastAsia="Times New Roman" w:hAnsi="Arial" w:cs="Arial"/>
          <w:i/>
          <w:sz w:val="32"/>
          <w:szCs w:val="32"/>
        </w:rPr>
      </w:pPr>
      <w:r w:rsidRPr="00DA27E4">
        <w:rPr>
          <w:rFonts w:ascii="Arial" w:eastAsia="Times New Roman" w:hAnsi="Arial" w:cs="Arial"/>
          <w:i/>
          <w:sz w:val="32"/>
          <w:szCs w:val="32"/>
        </w:rPr>
        <w:t>(...)</w:t>
      </w:r>
    </w:p>
    <w:p w14:paraId="4FF19D50" w14:textId="77777777" w:rsidR="00FC75EF" w:rsidRPr="00DA27E4" w:rsidRDefault="00FC75EF" w:rsidP="00FC75EF">
      <w:pPr>
        <w:ind w:left="1134"/>
        <w:jc w:val="both"/>
        <w:rPr>
          <w:rFonts w:ascii="Arial" w:eastAsia="Times New Roman" w:hAnsi="Arial" w:cs="Arial"/>
          <w:i/>
          <w:sz w:val="32"/>
          <w:szCs w:val="32"/>
        </w:rPr>
      </w:pPr>
      <w:r w:rsidRPr="00DA27E4">
        <w:rPr>
          <w:rFonts w:ascii="Arial" w:eastAsia="Times New Roman" w:hAnsi="Arial" w:cs="Arial"/>
          <w:i/>
          <w:sz w:val="32"/>
          <w:szCs w:val="32"/>
        </w:rPr>
        <w:t xml:space="preserve"> Considerando uma taxa de desconto menor de 5%, o VfM segue indicando vantajosidade. O cenário de 212 meses apresenta redução de 11,9% dos pagamentos públicos que seriam desembolsados a Valor Presente.</w:t>
      </w:r>
    </w:p>
    <w:p w14:paraId="032CD4AB" w14:textId="77777777" w:rsidR="00FC75EF" w:rsidRPr="00DA27E4" w:rsidRDefault="00FC75EF" w:rsidP="00922735">
      <w:pPr>
        <w:ind w:firstLine="708"/>
        <w:jc w:val="both"/>
        <w:rPr>
          <w:rFonts w:ascii="Arial" w:eastAsia="Times New Roman" w:hAnsi="Arial" w:cs="Arial"/>
          <w:sz w:val="32"/>
          <w:szCs w:val="32"/>
        </w:rPr>
      </w:pPr>
      <w:r w:rsidRPr="00DA27E4">
        <w:rPr>
          <w:rFonts w:ascii="Arial" w:eastAsia="Times New Roman" w:hAnsi="Arial" w:cs="Arial"/>
          <w:sz w:val="32"/>
          <w:szCs w:val="32"/>
        </w:rPr>
        <w:t xml:space="preserve">A vantajosidade econômica da celebração do termo aditivo em relação a uma licitação tradicional, apontada no Value for Money, estaria condicionada a realização de investimentos ao longo do prazo proposto, de modo a manter o serviço semafórico funcionando em sua plenitude, destacando-se a realização de investimentos em câmeras de segurança para detecção de incidentes, com parâmetros técnicos a serem definidos pela Prefeitura e pela CET. </w:t>
      </w:r>
    </w:p>
    <w:p w14:paraId="69E75CFD" w14:textId="77777777" w:rsidR="00FC75EF" w:rsidRPr="00DA27E4" w:rsidRDefault="00FC75EF" w:rsidP="00577AD1">
      <w:pPr>
        <w:ind w:firstLine="708"/>
        <w:jc w:val="both"/>
        <w:rPr>
          <w:rFonts w:ascii="Arial" w:eastAsia="Times New Roman" w:hAnsi="Arial" w:cs="Arial"/>
          <w:sz w:val="32"/>
          <w:szCs w:val="32"/>
          <w:u w:val="single"/>
        </w:rPr>
      </w:pPr>
      <w:r>
        <w:rPr>
          <w:rFonts w:ascii="Arial" w:eastAsia="Times New Roman" w:hAnsi="Arial" w:cs="Arial"/>
          <w:sz w:val="32"/>
          <w:szCs w:val="32"/>
        </w:rPr>
        <w:t>De acordo com a</w:t>
      </w:r>
      <w:r w:rsidRPr="00DA27E4">
        <w:rPr>
          <w:rFonts w:ascii="Arial" w:eastAsia="Times New Roman" w:hAnsi="Arial" w:cs="Arial"/>
          <w:sz w:val="32"/>
          <w:szCs w:val="32"/>
        </w:rPr>
        <w:t xml:space="preserve"> SP Parcerias</w:t>
      </w:r>
      <w:r>
        <w:rPr>
          <w:rFonts w:ascii="Arial" w:eastAsia="Times New Roman" w:hAnsi="Arial" w:cs="Arial"/>
          <w:sz w:val="32"/>
          <w:szCs w:val="32"/>
        </w:rPr>
        <w:t xml:space="preserve">, </w:t>
      </w:r>
      <w:r w:rsidRPr="00DA27E4">
        <w:rPr>
          <w:rFonts w:ascii="Arial" w:eastAsia="Times New Roman" w:hAnsi="Arial" w:cs="Arial"/>
          <w:sz w:val="32"/>
          <w:szCs w:val="32"/>
          <w:u w:val="single"/>
        </w:rPr>
        <w:t>a vantajosidade dependeria</w:t>
      </w:r>
      <w:r>
        <w:rPr>
          <w:rFonts w:ascii="Arial" w:eastAsia="Times New Roman" w:hAnsi="Arial" w:cs="Arial"/>
          <w:sz w:val="32"/>
          <w:szCs w:val="32"/>
          <w:u w:val="single"/>
        </w:rPr>
        <w:t xml:space="preserve"> então</w:t>
      </w:r>
      <w:r w:rsidRPr="00DA27E4">
        <w:rPr>
          <w:rFonts w:ascii="Arial" w:eastAsia="Times New Roman" w:hAnsi="Arial" w:cs="Arial"/>
          <w:sz w:val="32"/>
          <w:szCs w:val="32"/>
          <w:u w:val="single"/>
        </w:rPr>
        <w:t xml:space="preserve"> fundamentalmente:</w:t>
      </w:r>
    </w:p>
    <w:p w14:paraId="6BE750F1" w14:textId="77777777" w:rsidR="00FC75EF" w:rsidRPr="00E73B05" w:rsidRDefault="00FC75EF" w:rsidP="00FC75EF">
      <w:pPr>
        <w:pStyle w:val="PargrafodaLista"/>
        <w:numPr>
          <w:ilvl w:val="0"/>
          <w:numId w:val="3"/>
        </w:numPr>
        <w:jc w:val="both"/>
        <w:rPr>
          <w:rFonts w:ascii="Arial" w:eastAsia="Times New Roman" w:hAnsi="Arial" w:cs="Arial"/>
          <w:i/>
          <w:sz w:val="32"/>
          <w:szCs w:val="32"/>
        </w:rPr>
      </w:pPr>
      <w:r w:rsidRPr="00E73B05">
        <w:rPr>
          <w:rFonts w:ascii="Arial" w:eastAsia="Times New Roman" w:hAnsi="Arial" w:cs="Arial"/>
          <w:i/>
          <w:sz w:val="32"/>
          <w:szCs w:val="32"/>
        </w:rPr>
        <w:lastRenderedPageBreak/>
        <w:t>da manutenção e implementação dos equipamentos semafóricos com reinves</w:t>
      </w:r>
      <w:r w:rsidR="00897068">
        <w:rPr>
          <w:rFonts w:ascii="Arial" w:eastAsia="Times New Roman" w:hAnsi="Arial" w:cs="Arial"/>
          <w:i/>
          <w:sz w:val="32"/>
          <w:szCs w:val="32"/>
        </w:rPr>
        <w:t>ti</w:t>
      </w:r>
      <w:r w:rsidRPr="00E73B05">
        <w:rPr>
          <w:rFonts w:ascii="Arial" w:eastAsia="Times New Roman" w:hAnsi="Arial" w:cs="Arial"/>
          <w:i/>
          <w:sz w:val="32"/>
          <w:szCs w:val="32"/>
        </w:rPr>
        <w:t xml:space="preserve">mento ao longo do contrato, </w:t>
      </w:r>
    </w:p>
    <w:p w14:paraId="24192823" w14:textId="77777777" w:rsidR="00FC75EF" w:rsidRPr="00E73B05" w:rsidRDefault="00FC75EF" w:rsidP="00FC75EF">
      <w:pPr>
        <w:pStyle w:val="PargrafodaLista"/>
        <w:numPr>
          <w:ilvl w:val="0"/>
          <w:numId w:val="3"/>
        </w:numPr>
        <w:jc w:val="both"/>
        <w:rPr>
          <w:rFonts w:ascii="Arial" w:eastAsia="Times New Roman" w:hAnsi="Arial" w:cs="Arial"/>
          <w:i/>
          <w:sz w:val="32"/>
          <w:szCs w:val="32"/>
        </w:rPr>
      </w:pPr>
      <w:r w:rsidRPr="00E73B05">
        <w:rPr>
          <w:rFonts w:ascii="Arial" w:eastAsia="Times New Roman" w:hAnsi="Arial" w:cs="Arial"/>
          <w:i/>
          <w:sz w:val="32"/>
          <w:szCs w:val="32"/>
        </w:rPr>
        <w:t xml:space="preserve">de que a Concessionária tenha seu pagamento impactado pelo seu desempenho na qualidade e disponibilidade dos semáforos, </w:t>
      </w:r>
    </w:p>
    <w:p w14:paraId="7425807B" w14:textId="77777777" w:rsidR="00FC75EF" w:rsidRPr="00E73B05" w:rsidRDefault="00FC75EF" w:rsidP="00FC75EF">
      <w:pPr>
        <w:pStyle w:val="PargrafodaLista"/>
        <w:numPr>
          <w:ilvl w:val="0"/>
          <w:numId w:val="3"/>
        </w:numPr>
        <w:jc w:val="both"/>
        <w:rPr>
          <w:rFonts w:ascii="Arial" w:eastAsia="Times New Roman" w:hAnsi="Arial" w:cs="Arial"/>
          <w:i/>
          <w:sz w:val="32"/>
          <w:szCs w:val="32"/>
        </w:rPr>
      </w:pPr>
      <w:r w:rsidRPr="00E73B05">
        <w:rPr>
          <w:rFonts w:ascii="Arial" w:eastAsia="Times New Roman" w:hAnsi="Arial" w:cs="Arial"/>
          <w:i/>
          <w:sz w:val="32"/>
          <w:szCs w:val="32"/>
        </w:rPr>
        <w:t xml:space="preserve">da compra das câmeras de detecção, </w:t>
      </w:r>
    </w:p>
    <w:p w14:paraId="5DBEF09C" w14:textId="77777777" w:rsidR="00FC75EF" w:rsidRPr="00F46611" w:rsidRDefault="00FC75EF" w:rsidP="00FC75EF">
      <w:pPr>
        <w:pStyle w:val="PargrafodaLista"/>
        <w:numPr>
          <w:ilvl w:val="0"/>
          <w:numId w:val="3"/>
        </w:numPr>
        <w:jc w:val="both"/>
        <w:rPr>
          <w:rFonts w:ascii="Arial" w:eastAsia="Times New Roman" w:hAnsi="Arial" w:cs="Arial"/>
          <w:i/>
          <w:sz w:val="32"/>
          <w:szCs w:val="32"/>
        </w:rPr>
      </w:pPr>
      <w:r w:rsidRPr="00F46611">
        <w:rPr>
          <w:rFonts w:ascii="Arial" w:eastAsia="Times New Roman" w:hAnsi="Arial" w:cs="Arial"/>
          <w:i/>
          <w:sz w:val="32"/>
          <w:szCs w:val="32"/>
        </w:rPr>
        <w:t xml:space="preserve">do custeamento da energia elétrica, </w:t>
      </w:r>
    </w:p>
    <w:p w14:paraId="01216951" w14:textId="77777777" w:rsidR="00FC75EF" w:rsidRPr="00F46611" w:rsidRDefault="00FC75EF" w:rsidP="00FC75EF">
      <w:pPr>
        <w:pStyle w:val="PargrafodaLista"/>
        <w:numPr>
          <w:ilvl w:val="0"/>
          <w:numId w:val="3"/>
        </w:numPr>
        <w:jc w:val="both"/>
        <w:rPr>
          <w:rFonts w:ascii="Arial" w:eastAsia="Times New Roman" w:hAnsi="Arial" w:cs="Arial"/>
          <w:i/>
          <w:sz w:val="32"/>
          <w:szCs w:val="32"/>
        </w:rPr>
      </w:pPr>
      <w:r w:rsidRPr="00F46611">
        <w:rPr>
          <w:rFonts w:ascii="Arial" w:eastAsia="Times New Roman" w:hAnsi="Arial" w:cs="Arial"/>
          <w:i/>
          <w:sz w:val="32"/>
          <w:szCs w:val="32"/>
        </w:rPr>
        <w:t>da incorporação dos riscos de vandalismo e furto, dentre outros aspectos técnicos e parâmetros apresentados ao longo da Nota Técnica de novembro de 2021.</w:t>
      </w:r>
    </w:p>
    <w:p w14:paraId="79D1F754" w14:textId="77777777" w:rsidR="00FC75EF" w:rsidRPr="00DA27E4" w:rsidRDefault="00FC75EF" w:rsidP="00FC75EF">
      <w:pPr>
        <w:ind w:left="1276"/>
        <w:contextualSpacing/>
        <w:jc w:val="both"/>
        <w:rPr>
          <w:rFonts w:ascii="Arial" w:eastAsia="Times New Roman" w:hAnsi="Arial" w:cs="Arial"/>
          <w:b/>
          <w:bCs/>
          <w:i/>
          <w:sz w:val="32"/>
          <w:szCs w:val="32"/>
        </w:rPr>
      </w:pPr>
    </w:p>
    <w:p w14:paraId="070A467C" w14:textId="77777777" w:rsidR="00FC75EF" w:rsidRDefault="00FC75EF" w:rsidP="00B54010">
      <w:pPr>
        <w:ind w:firstLine="708"/>
        <w:jc w:val="both"/>
        <w:rPr>
          <w:rFonts w:ascii="Arial" w:eastAsia="Times New Roman" w:hAnsi="Arial" w:cs="Arial"/>
          <w:sz w:val="32"/>
          <w:szCs w:val="32"/>
        </w:rPr>
      </w:pPr>
      <w:r>
        <w:rPr>
          <w:rFonts w:ascii="Arial" w:eastAsia="Times New Roman" w:hAnsi="Arial" w:cs="Arial"/>
          <w:sz w:val="32"/>
          <w:szCs w:val="32"/>
        </w:rPr>
        <w:t>A nota da SP Parcerias traz também as seguintes recomendações:</w:t>
      </w:r>
    </w:p>
    <w:p w14:paraId="303EB088" w14:textId="77777777" w:rsidR="00FC75EF" w:rsidRDefault="00FC75EF" w:rsidP="00FC75EF">
      <w:pPr>
        <w:pStyle w:val="PargrafodaLista"/>
        <w:numPr>
          <w:ilvl w:val="0"/>
          <w:numId w:val="4"/>
        </w:numPr>
        <w:ind w:left="1985"/>
        <w:jc w:val="both"/>
        <w:rPr>
          <w:rFonts w:ascii="Arial" w:eastAsia="Times New Roman" w:hAnsi="Arial" w:cs="Arial"/>
          <w:sz w:val="32"/>
          <w:szCs w:val="32"/>
        </w:rPr>
      </w:pPr>
      <w:r w:rsidRPr="00795DEB">
        <w:rPr>
          <w:rFonts w:ascii="Arial" w:eastAsia="Times New Roman" w:hAnsi="Arial" w:cs="Arial"/>
          <w:sz w:val="32"/>
          <w:szCs w:val="32"/>
        </w:rPr>
        <w:t xml:space="preserve">que o prazo se atenha ao período do contrato de iluminação; </w:t>
      </w:r>
    </w:p>
    <w:p w14:paraId="70070EB2" w14:textId="77777777" w:rsidR="00FC75EF" w:rsidRDefault="00FC75EF" w:rsidP="00FC75EF">
      <w:pPr>
        <w:pStyle w:val="PargrafodaLista"/>
        <w:numPr>
          <w:ilvl w:val="0"/>
          <w:numId w:val="4"/>
        </w:numPr>
        <w:ind w:left="1985"/>
        <w:jc w:val="both"/>
        <w:rPr>
          <w:rFonts w:ascii="Arial" w:eastAsia="Times New Roman" w:hAnsi="Arial" w:cs="Arial"/>
          <w:sz w:val="32"/>
          <w:szCs w:val="32"/>
        </w:rPr>
      </w:pPr>
      <w:r w:rsidRPr="00795DEB">
        <w:rPr>
          <w:rFonts w:ascii="Arial" w:eastAsia="Times New Roman" w:hAnsi="Arial" w:cs="Arial"/>
          <w:sz w:val="32"/>
          <w:szCs w:val="32"/>
        </w:rPr>
        <w:t xml:space="preserve">que o Sistema de Mensuração de Desempenho relativo aos serviços semafóricos seja voltado à qualidade final do serviço prestado, e </w:t>
      </w:r>
    </w:p>
    <w:p w14:paraId="59CBB2D5" w14:textId="77777777" w:rsidR="00FC75EF" w:rsidRPr="00795DEB" w:rsidRDefault="00FC75EF" w:rsidP="00FC75EF">
      <w:pPr>
        <w:pStyle w:val="PargrafodaLista"/>
        <w:numPr>
          <w:ilvl w:val="0"/>
          <w:numId w:val="4"/>
        </w:numPr>
        <w:ind w:left="1985"/>
        <w:jc w:val="both"/>
        <w:rPr>
          <w:rFonts w:ascii="Arial" w:eastAsia="Times New Roman" w:hAnsi="Arial" w:cs="Arial"/>
          <w:sz w:val="32"/>
          <w:szCs w:val="32"/>
        </w:rPr>
      </w:pPr>
      <w:r w:rsidRPr="00795DEB">
        <w:rPr>
          <w:rFonts w:ascii="Arial" w:eastAsia="Times New Roman" w:hAnsi="Arial" w:cs="Arial"/>
          <w:sz w:val="32"/>
          <w:szCs w:val="32"/>
        </w:rPr>
        <w:t xml:space="preserve">que se inclua o Termo de Referência da CET de 2019 no Termo Aditivo como Caderno de Encargos. </w:t>
      </w:r>
    </w:p>
    <w:p w14:paraId="76986C11" w14:textId="77777777" w:rsidR="00FC75EF" w:rsidRDefault="00FC75EF" w:rsidP="00B54010">
      <w:pPr>
        <w:ind w:firstLine="708"/>
        <w:jc w:val="both"/>
        <w:rPr>
          <w:rFonts w:ascii="Arial" w:eastAsia="Times New Roman" w:hAnsi="Arial" w:cs="Arial"/>
          <w:sz w:val="32"/>
          <w:szCs w:val="32"/>
        </w:rPr>
      </w:pPr>
      <w:r>
        <w:rPr>
          <w:rFonts w:ascii="Arial" w:eastAsia="Times New Roman" w:hAnsi="Arial" w:cs="Arial"/>
          <w:sz w:val="32"/>
          <w:szCs w:val="32"/>
        </w:rPr>
        <w:t>Dessa forma,</w:t>
      </w:r>
      <w:r w:rsidRPr="001D4005">
        <w:rPr>
          <w:rFonts w:ascii="Arial" w:eastAsia="Times New Roman" w:hAnsi="Arial" w:cs="Arial"/>
          <w:sz w:val="32"/>
          <w:szCs w:val="32"/>
        </w:rPr>
        <w:t xml:space="preserve"> os cenários com 374 meses </w:t>
      </w:r>
      <w:r>
        <w:rPr>
          <w:rFonts w:ascii="Arial" w:eastAsia="Times New Roman" w:hAnsi="Arial" w:cs="Arial"/>
          <w:sz w:val="32"/>
          <w:szCs w:val="32"/>
        </w:rPr>
        <w:t xml:space="preserve">que estavam também sendo analisados </w:t>
      </w:r>
      <w:r w:rsidRPr="001D4005">
        <w:rPr>
          <w:rFonts w:ascii="Arial" w:eastAsia="Times New Roman" w:hAnsi="Arial" w:cs="Arial"/>
          <w:sz w:val="32"/>
          <w:szCs w:val="32"/>
        </w:rPr>
        <w:t>não foram mais considerados</w:t>
      </w:r>
      <w:r>
        <w:rPr>
          <w:rFonts w:ascii="Arial" w:eastAsia="Times New Roman" w:hAnsi="Arial" w:cs="Arial"/>
          <w:sz w:val="32"/>
          <w:szCs w:val="32"/>
        </w:rPr>
        <w:t>, uma vez que</w:t>
      </w:r>
      <w:r w:rsidRPr="001D4005">
        <w:rPr>
          <w:rFonts w:ascii="Arial" w:eastAsia="Times New Roman" w:hAnsi="Arial" w:cs="Arial"/>
          <w:sz w:val="32"/>
          <w:szCs w:val="32"/>
        </w:rPr>
        <w:t xml:space="preserve"> o prazo restante de vigência da Concessão de Iluminação se dá em 212 mese</w:t>
      </w:r>
      <w:r>
        <w:rPr>
          <w:rFonts w:ascii="Arial" w:eastAsia="Times New Roman" w:hAnsi="Arial" w:cs="Arial"/>
          <w:sz w:val="32"/>
          <w:szCs w:val="32"/>
        </w:rPr>
        <w:t>s.</w:t>
      </w:r>
    </w:p>
    <w:p w14:paraId="78DAD86E" w14:textId="2111F974" w:rsidR="00FD509B" w:rsidRDefault="00FC75EF" w:rsidP="00BE2AB1">
      <w:pPr>
        <w:ind w:firstLine="708"/>
        <w:jc w:val="both"/>
        <w:rPr>
          <w:rFonts w:ascii="Arial" w:eastAsia="Times New Roman" w:hAnsi="Arial" w:cs="Arial"/>
          <w:sz w:val="32"/>
          <w:szCs w:val="32"/>
        </w:rPr>
      </w:pPr>
      <w:r w:rsidRPr="00DA27E4">
        <w:rPr>
          <w:rFonts w:ascii="Arial" w:eastAsia="Times New Roman" w:hAnsi="Arial" w:cs="Arial"/>
          <w:sz w:val="32"/>
          <w:szCs w:val="32"/>
        </w:rPr>
        <w:t>A Concessionária solicitou parecer</w:t>
      </w:r>
      <w:r w:rsidR="00FD509B">
        <w:rPr>
          <w:rFonts w:ascii="Arial" w:eastAsia="Times New Roman" w:hAnsi="Arial" w:cs="Arial"/>
          <w:sz w:val="32"/>
          <w:szCs w:val="32"/>
        </w:rPr>
        <w:t xml:space="preserve"> da GO Associados, capitaneada pelo</w:t>
      </w:r>
      <w:r w:rsidR="00897068">
        <w:rPr>
          <w:rFonts w:ascii="Arial" w:eastAsia="Times New Roman" w:hAnsi="Arial" w:cs="Arial"/>
          <w:sz w:val="32"/>
          <w:szCs w:val="32"/>
        </w:rPr>
        <w:t xml:space="preserve"> Professor</w:t>
      </w:r>
      <w:r w:rsidR="00FD509B">
        <w:rPr>
          <w:rFonts w:ascii="Arial" w:eastAsia="Times New Roman" w:hAnsi="Arial" w:cs="Arial"/>
          <w:sz w:val="32"/>
          <w:szCs w:val="32"/>
        </w:rPr>
        <w:t xml:space="preserve"> Ge</w:t>
      </w:r>
      <w:r w:rsidR="009E7787">
        <w:rPr>
          <w:rFonts w:ascii="Arial" w:eastAsia="Times New Roman" w:hAnsi="Arial" w:cs="Arial"/>
          <w:sz w:val="32"/>
          <w:szCs w:val="32"/>
        </w:rPr>
        <w:t>s</w:t>
      </w:r>
      <w:r w:rsidR="00FD509B">
        <w:rPr>
          <w:rFonts w:ascii="Arial" w:eastAsia="Times New Roman" w:hAnsi="Arial" w:cs="Arial"/>
          <w:sz w:val="32"/>
          <w:szCs w:val="32"/>
        </w:rPr>
        <w:t>ner Oliveira, P</w:t>
      </w:r>
      <w:r w:rsidR="00D817BB">
        <w:rPr>
          <w:rFonts w:ascii="Arial" w:eastAsia="Times New Roman" w:hAnsi="Arial" w:cs="Arial"/>
          <w:sz w:val="32"/>
          <w:szCs w:val="32"/>
        </w:rPr>
        <w:t>hD</w:t>
      </w:r>
      <w:r w:rsidR="00FD509B">
        <w:rPr>
          <w:rFonts w:ascii="Arial" w:eastAsia="Times New Roman" w:hAnsi="Arial" w:cs="Arial"/>
          <w:sz w:val="32"/>
          <w:szCs w:val="32"/>
        </w:rPr>
        <w:t xml:space="preserve"> em economia pela Universidade da Californi</w:t>
      </w:r>
      <w:r w:rsidR="00BE2AB1">
        <w:rPr>
          <w:rFonts w:ascii="Arial" w:eastAsia="Times New Roman" w:hAnsi="Arial" w:cs="Arial"/>
          <w:sz w:val="32"/>
          <w:szCs w:val="32"/>
        </w:rPr>
        <w:t>a</w:t>
      </w:r>
      <w:r w:rsidR="00FD509B">
        <w:rPr>
          <w:rFonts w:ascii="Arial" w:eastAsia="Times New Roman" w:hAnsi="Arial" w:cs="Arial"/>
          <w:sz w:val="32"/>
          <w:szCs w:val="32"/>
        </w:rPr>
        <w:t>/Berkeley e professor da Fundação Getúlio Vargas</w:t>
      </w:r>
      <w:r w:rsidRPr="00DA27E4">
        <w:rPr>
          <w:rFonts w:ascii="Arial" w:eastAsia="Times New Roman" w:hAnsi="Arial" w:cs="Arial"/>
          <w:sz w:val="32"/>
          <w:szCs w:val="32"/>
        </w:rPr>
        <w:t xml:space="preserve">, concluindo também </w:t>
      </w:r>
      <w:r w:rsidRPr="00DA27E4">
        <w:rPr>
          <w:rFonts w:ascii="Arial" w:eastAsia="Times New Roman" w:hAnsi="Arial" w:cs="Arial"/>
          <w:sz w:val="32"/>
          <w:szCs w:val="32"/>
        </w:rPr>
        <w:lastRenderedPageBreak/>
        <w:t xml:space="preserve">pela vantajosidade da proposta de incorporação. </w:t>
      </w:r>
      <w:r w:rsidR="00FD509B">
        <w:rPr>
          <w:rFonts w:ascii="Arial" w:eastAsia="Times New Roman" w:hAnsi="Arial" w:cs="Arial"/>
          <w:sz w:val="32"/>
          <w:szCs w:val="32"/>
        </w:rPr>
        <w:t>As conclus</w:t>
      </w:r>
      <w:r w:rsidR="00BE2AB1">
        <w:rPr>
          <w:rFonts w:ascii="Arial" w:eastAsia="Times New Roman" w:hAnsi="Arial" w:cs="Arial"/>
          <w:sz w:val="32"/>
          <w:szCs w:val="32"/>
        </w:rPr>
        <w:t>ões</w:t>
      </w:r>
      <w:r w:rsidR="00FD509B">
        <w:rPr>
          <w:rFonts w:ascii="Arial" w:eastAsia="Times New Roman" w:hAnsi="Arial" w:cs="Arial"/>
          <w:sz w:val="32"/>
          <w:szCs w:val="32"/>
        </w:rPr>
        <w:t xml:space="preserve"> alcançadas pelo citado parecer </w:t>
      </w:r>
      <w:r w:rsidRPr="00DA27E4">
        <w:rPr>
          <w:rFonts w:ascii="Arial" w:eastAsia="Times New Roman" w:hAnsi="Arial" w:cs="Arial"/>
          <w:sz w:val="32"/>
          <w:szCs w:val="32"/>
        </w:rPr>
        <w:t>foram revisad</w:t>
      </w:r>
      <w:r w:rsidR="00BE2AB1">
        <w:rPr>
          <w:rFonts w:ascii="Arial" w:eastAsia="Times New Roman" w:hAnsi="Arial" w:cs="Arial"/>
          <w:sz w:val="32"/>
          <w:szCs w:val="32"/>
        </w:rPr>
        <w:t>a</w:t>
      </w:r>
      <w:r w:rsidRPr="00DA27E4">
        <w:rPr>
          <w:rFonts w:ascii="Arial" w:eastAsia="Times New Roman" w:hAnsi="Arial" w:cs="Arial"/>
          <w:sz w:val="32"/>
          <w:szCs w:val="32"/>
        </w:rPr>
        <w:t xml:space="preserve">s pela SP Parcerias. </w:t>
      </w:r>
    </w:p>
    <w:p w14:paraId="7EADFF2D" w14:textId="77777777" w:rsidR="00FC75EF" w:rsidRPr="00DA27E4" w:rsidRDefault="00FC75EF" w:rsidP="009B042E">
      <w:pPr>
        <w:ind w:firstLine="708"/>
        <w:jc w:val="both"/>
        <w:rPr>
          <w:rFonts w:ascii="Arial" w:eastAsia="Times New Roman" w:hAnsi="Arial" w:cs="Arial"/>
          <w:sz w:val="32"/>
          <w:szCs w:val="32"/>
        </w:rPr>
      </w:pPr>
      <w:r w:rsidRPr="00DA27E4">
        <w:rPr>
          <w:rFonts w:ascii="Arial" w:eastAsia="Times New Roman" w:hAnsi="Arial" w:cs="Arial"/>
          <w:sz w:val="32"/>
          <w:szCs w:val="32"/>
        </w:rPr>
        <w:t xml:space="preserve">O resultado, incorporando as câmeras de detecção, energia elétrica e riscos de furtos, e considerando uma taxa de desconto de 9,53%, foi um VfM </w:t>
      </w:r>
      <w:r>
        <w:rPr>
          <w:rFonts w:ascii="Arial" w:eastAsia="Times New Roman" w:hAnsi="Arial" w:cs="Arial"/>
          <w:sz w:val="32"/>
          <w:szCs w:val="32"/>
        </w:rPr>
        <w:t xml:space="preserve">de </w:t>
      </w:r>
      <w:r w:rsidRPr="00DA27E4">
        <w:rPr>
          <w:rFonts w:ascii="Arial" w:eastAsia="Times New Roman" w:hAnsi="Arial" w:cs="Arial"/>
          <w:sz w:val="32"/>
          <w:szCs w:val="32"/>
        </w:rPr>
        <w:t>10% no cenário de 212 meses.</w:t>
      </w:r>
    </w:p>
    <w:p w14:paraId="74234E11" w14:textId="77777777" w:rsidR="00FC75EF" w:rsidRPr="00DA27E4" w:rsidRDefault="00FC75EF" w:rsidP="009B042E">
      <w:pPr>
        <w:ind w:firstLine="708"/>
        <w:jc w:val="both"/>
        <w:rPr>
          <w:rFonts w:ascii="Arial" w:eastAsia="Times New Roman" w:hAnsi="Arial" w:cs="Arial"/>
          <w:sz w:val="32"/>
          <w:szCs w:val="32"/>
        </w:rPr>
      </w:pPr>
      <w:r w:rsidRPr="00DA27E4">
        <w:rPr>
          <w:rFonts w:ascii="Arial" w:eastAsia="Times New Roman" w:hAnsi="Arial" w:cs="Arial"/>
          <w:sz w:val="32"/>
          <w:szCs w:val="32"/>
        </w:rPr>
        <w:t>A título comparativo, os resultados calculados nos estudos da SP Parcerias se mostraram superiores. Considerando a mesma taxa de desconto, demonstraram um VfM de 21,4% no cenário de 212 meses</w:t>
      </w:r>
      <w:r>
        <w:rPr>
          <w:rFonts w:ascii="Arial" w:eastAsia="Times New Roman" w:hAnsi="Arial" w:cs="Arial"/>
          <w:sz w:val="32"/>
          <w:szCs w:val="32"/>
        </w:rPr>
        <w:t>.</w:t>
      </w:r>
    </w:p>
    <w:p w14:paraId="0976D199" w14:textId="2248E6A5" w:rsidR="00FC75EF" w:rsidRPr="00DA27E4" w:rsidRDefault="00FC75EF" w:rsidP="00EA6F20">
      <w:pPr>
        <w:autoSpaceDE w:val="0"/>
        <w:autoSpaceDN w:val="0"/>
        <w:adjustRightInd w:val="0"/>
        <w:spacing w:after="0" w:line="240" w:lineRule="auto"/>
        <w:ind w:firstLine="708"/>
        <w:jc w:val="both"/>
        <w:rPr>
          <w:rFonts w:ascii="Arial" w:eastAsia="Times New Roman" w:hAnsi="Arial" w:cs="Arial"/>
          <w:sz w:val="32"/>
          <w:szCs w:val="32"/>
        </w:rPr>
      </w:pPr>
      <w:r w:rsidRPr="00DA27E4">
        <w:rPr>
          <w:rFonts w:ascii="Arial" w:eastAsia="Times New Roman" w:hAnsi="Arial" w:cs="Arial"/>
          <w:sz w:val="32"/>
          <w:szCs w:val="32"/>
        </w:rPr>
        <w:t>No parecer</w:t>
      </w:r>
      <w:r w:rsidR="00897068">
        <w:rPr>
          <w:rFonts w:ascii="Arial" w:eastAsia="Times New Roman" w:hAnsi="Arial" w:cs="Arial"/>
          <w:sz w:val="32"/>
          <w:szCs w:val="32"/>
        </w:rPr>
        <w:t xml:space="preserve"> encomendado ao Professor </w:t>
      </w:r>
      <w:r w:rsidR="00FD509B">
        <w:rPr>
          <w:rFonts w:ascii="Arial" w:eastAsia="Times New Roman" w:hAnsi="Arial" w:cs="Arial"/>
          <w:sz w:val="32"/>
          <w:szCs w:val="32"/>
        </w:rPr>
        <w:t xml:space="preserve">Gesner  Oliveira e sua </w:t>
      </w:r>
      <w:r w:rsidR="00EA6F20">
        <w:rPr>
          <w:rFonts w:ascii="Arial" w:eastAsia="Times New Roman" w:hAnsi="Arial" w:cs="Arial"/>
          <w:sz w:val="32"/>
          <w:szCs w:val="32"/>
        </w:rPr>
        <w:t xml:space="preserve">equipe, </w:t>
      </w:r>
      <w:r w:rsidRPr="00DA27E4">
        <w:rPr>
          <w:rFonts w:ascii="Arial" w:eastAsia="Times New Roman" w:hAnsi="Arial" w:cs="Arial"/>
          <w:sz w:val="32"/>
          <w:szCs w:val="32"/>
        </w:rPr>
        <w:t xml:space="preserve">consta que a contraprestação mensal do serviço de iluminação pública se manteria constante com a incorporação da rede semafórica, mantendo-se a taxa interna de retorno atual de 9,53%. Em sua nota técnica, a SP Parcerias considera o valor compatível com a atual conjuntura. </w:t>
      </w:r>
    </w:p>
    <w:p w14:paraId="2E5391F5" w14:textId="77777777" w:rsidR="00FC75EF" w:rsidRPr="00DA27E4" w:rsidRDefault="00FC75EF" w:rsidP="00FC75EF">
      <w:pPr>
        <w:autoSpaceDE w:val="0"/>
        <w:autoSpaceDN w:val="0"/>
        <w:adjustRightInd w:val="0"/>
        <w:spacing w:after="0" w:line="240" w:lineRule="auto"/>
        <w:jc w:val="both"/>
        <w:rPr>
          <w:rFonts w:ascii="Arial" w:eastAsia="Times New Roman" w:hAnsi="Arial" w:cs="Arial"/>
          <w:sz w:val="32"/>
          <w:szCs w:val="32"/>
        </w:rPr>
      </w:pPr>
    </w:p>
    <w:p w14:paraId="57132065" w14:textId="77777777" w:rsidR="00FC75EF" w:rsidRPr="00DA27E4" w:rsidRDefault="00FC75EF" w:rsidP="00EA6F20">
      <w:pPr>
        <w:ind w:firstLine="708"/>
        <w:jc w:val="both"/>
        <w:rPr>
          <w:rFonts w:ascii="Arial" w:eastAsia="Times New Roman" w:hAnsi="Arial" w:cs="Arial"/>
          <w:sz w:val="32"/>
          <w:szCs w:val="32"/>
        </w:rPr>
      </w:pPr>
      <w:r w:rsidRPr="00DA27E4">
        <w:rPr>
          <w:rFonts w:ascii="Arial" w:eastAsia="Times New Roman" w:hAnsi="Arial" w:cs="Arial"/>
          <w:sz w:val="32"/>
          <w:szCs w:val="32"/>
        </w:rPr>
        <w:t>Na análise da economicidade torna-se imperioso ressaltar o comparativo entre a contratação comum e a adesão ao contrato da iluminação pública, por meio das contratações atuais da CET.</w:t>
      </w:r>
    </w:p>
    <w:p w14:paraId="13CEABF8" w14:textId="148EF66E" w:rsidR="00897068" w:rsidRDefault="00FC75EF" w:rsidP="001951E9">
      <w:pPr>
        <w:ind w:firstLine="708"/>
        <w:jc w:val="both"/>
        <w:rPr>
          <w:rFonts w:ascii="Arial" w:eastAsia="Times New Roman" w:hAnsi="Arial" w:cs="Arial"/>
          <w:sz w:val="32"/>
          <w:szCs w:val="32"/>
        </w:rPr>
      </w:pPr>
      <w:r w:rsidRPr="00DA27E4">
        <w:rPr>
          <w:rFonts w:ascii="Arial" w:eastAsia="Times New Roman" w:hAnsi="Arial" w:cs="Arial"/>
          <w:sz w:val="32"/>
          <w:szCs w:val="32"/>
        </w:rPr>
        <w:t>Consoante resposta da Origem, especialmente no parecer técnico da SP Parcerias, a manutenção da rede semafórica é realizada por três empresas privadas contratadas mediante o regime de empreitada por preço unitário, cujo objeto não envolve a modernização do parque, apenas as correções pontuais no atual parque. E, quando se analisa o contrato da PPP da Iluminação Pública, tem-se a lógica inversa</w:t>
      </w:r>
      <w:r w:rsidR="001951E9">
        <w:rPr>
          <w:rFonts w:ascii="Arial" w:eastAsia="Times New Roman" w:hAnsi="Arial" w:cs="Arial"/>
          <w:sz w:val="32"/>
          <w:szCs w:val="32"/>
        </w:rPr>
        <w:t xml:space="preserve">: </w:t>
      </w:r>
      <w:r w:rsidRPr="00DA27E4">
        <w:rPr>
          <w:rFonts w:ascii="Arial" w:eastAsia="Times New Roman" w:hAnsi="Arial" w:cs="Arial"/>
          <w:sz w:val="32"/>
          <w:szCs w:val="32"/>
        </w:rPr>
        <w:t>a manutenção do parque semafórico render</w:t>
      </w:r>
      <w:r>
        <w:rPr>
          <w:rFonts w:ascii="Arial" w:eastAsia="Times New Roman" w:hAnsi="Arial" w:cs="Arial"/>
          <w:sz w:val="32"/>
          <w:szCs w:val="32"/>
        </w:rPr>
        <w:t>ia</w:t>
      </w:r>
      <w:r w:rsidRPr="00DA27E4">
        <w:rPr>
          <w:rFonts w:ascii="Arial" w:eastAsia="Times New Roman" w:hAnsi="Arial" w:cs="Arial"/>
          <w:sz w:val="32"/>
          <w:szCs w:val="32"/>
        </w:rPr>
        <w:t xml:space="preserve"> mais proventos enquanto mantido em funcionamento. Desta forma, temos o atual modelo em que as empresas ganham mais com o conserto de cada ponto semafórico, e de outra </w:t>
      </w:r>
      <w:r w:rsidRPr="00DA27E4">
        <w:rPr>
          <w:rFonts w:ascii="Arial" w:eastAsia="Times New Roman" w:hAnsi="Arial" w:cs="Arial"/>
          <w:sz w:val="32"/>
          <w:szCs w:val="32"/>
        </w:rPr>
        <w:lastRenderedPageBreak/>
        <w:t>parte um novo modelo que remunera o contratado pela eficiência no funcionamento efetivo do parque semafórico.</w:t>
      </w:r>
    </w:p>
    <w:p w14:paraId="7AA8046F" w14:textId="2A917C60" w:rsidR="00FC75EF" w:rsidRPr="00DA27E4" w:rsidRDefault="00897068" w:rsidP="0048272D">
      <w:pPr>
        <w:ind w:firstLine="708"/>
        <w:jc w:val="both"/>
        <w:rPr>
          <w:rFonts w:ascii="Arial" w:eastAsia="Times New Roman" w:hAnsi="Arial" w:cs="Arial"/>
          <w:sz w:val="32"/>
          <w:szCs w:val="32"/>
        </w:rPr>
      </w:pPr>
      <w:r>
        <w:rPr>
          <w:rFonts w:ascii="Arial" w:eastAsia="Times New Roman" w:hAnsi="Arial" w:cs="Arial"/>
          <w:sz w:val="32"/>
          <w:szCs w:val="32"/>
        </w:rPr>
        <w:t xml:space="preserve">Cabe ressaltar que contratar visando resultado e não o volume de serviços prestados </w:t>
      </w:r>
      <w:r w:rsidRPr="00232CBF">
        <w:rPr>
          <w:rFonts w:ascii="Arial" w:eastAsia="Times New Roman" w:hAnsi="Arial" w:cs="Arial"/>
          <w:sz w:val="32"/>
          <w:szCs w:val="32"/>
        </w:rPr>
        <w:t xml:space="preserve">tem </w:t>
      </w:r>
      <w:r w:rsidR="00232CBF">
        <w:rPr>
          <w:rFonts w:ascii="Arial" w:eastAsia="Times New Roman" w:hAnsi="Arial" w:cs="Arial"/>
          <w:sz w:val="32"/>
          <w:szCs w:val="32"/>
        </w:rPr>
        <w:t>sido</w:t>
      </w:r>
      <w:r w:rsidRPr="00232CBF">
        <w:rPr>
          <w:rFonts w:ascii="Arial" w:eastAsia="Times New Roman" w:hAnsi="Arial" w:cs="Arial"/>
          <w:sz w:val="32"/>
          <w:szCs w:val="32"/>
        </w:rPr>
        <w:t xml:space="preserve"> </w:t>
      </w:r>
      <w:r>
        <w:rPr>
          <w:rFonts w:ascii="Arial" w:eastAsia="Times New Roman" w:hAnsi="Arial" w:cs="Arial"/>
          <w:sz w:val="32"/>
          <w:szCs w:val="32"/>
        </w:rPr>
        <w:t>uma preocupação constante nos debates internos desta Corte.</w:t>
      </w:r>
      <w:r w:rsidR="00FC75EF" w:rsidRPr="00DA27E4">
        <w:rPr>
          <w:rFonts w:ascii="Arial" w:eastAsia="Times New Roman" w:hAnsi="Arial" w:cs="Arial"/>
          <w:sz w:val="32"/>
          <w:szCs w:val="32"/>
        </w:rPr>
        <w:t xml:space="preserve"> </w:t>
      </w:r>
    </w:p>
    <w:p w14:paraId="1ABF1122" w14:textId="77777777" w:rsidR="00FC75EF" w:rsidRDefault="00FC75EF" w:rsidP="0048272D">
      <w:pPr>
        <w:ind w:firstLine="708"/>
        <w:jc w:val="both"/>
        <w:rPr>
          <w:rFonts w:ascii="Arial" w:hAnsi="Arial" w:cs="Arial"/>
          <w:sz w:val="32"/>
          <w:szCs w:val="32"/>
        </w:rPr>
      </w:pPr>
      <w:r>
        <w:rPr>
          <w:rFonts w:ascii="Arial" w:hAnsi="Arial" w:cs="Arial"/>
          <w:sz w:val="32"/>
          <w:szCs w:val="32"/>
        </w:rPr>
        <w:t xml:space="preserve">A Auditoria deste Tribunal analisou os estudos da Origem visando </w:t>
      </w:r>
      <w:r w:rsidR="00353BC0">
        <w:rPr>
          <w:rFonts w:ascii="Arial" w:hAnsi="Arial" w:cs="Arial"/>
          <w:sz w:val="32"/>
          <w:szCs w:val="32"/>
        </w:rPr>
        <w:t>avaliar</w:t>
      </w:r>
      <w:r>
        <w:rPr>
          <w:rFonts w:ascii="Arial" w:hAnsi="Arial" w:cs="Arial"/>
          <w:sz w:val="32"/>
          <w:szCs w:val="32"/>
        </w:rPr>
        <w:t xml:space="preserve"> a vantajosidade da integração dos serviços quanto aos aspectos econômicos, em Inspeção juntada ao presente processo, cujos resultados trago e me posiciono a seguir. </w:t>
      </w:r>
    </w:p>
    <w:p w14:paraId="2F01141A" w14:textId="7DC1F0F9" w:rsidR="00897068" w:rsidRDefault="007B03BB" w:rsidP="00FA5B99">
      <w:pPr>
        <w:ind w:firstLine="708"/>
        <w:jc w:val="both"/>
        <w:rPr>
          <w:rFonts w:ascii="Arial" w:hAnsi="Arial" w:cs="Arial"/>
          <w:sz w:val="32"/>
          <w:szCs w:val="32"/>
        </w:rPr>
      </w:pPr>
      <w:bookmarkStart w:id="6" w:name="_Hlk110778462"/>
      <w:r>
        <w:rPr>
          <w:rFonts w:ascii="Arial" w:hAnsi="Arial" w:cs="Arial"/>
          <w:sz w:val="32"/>
          <w:szCs w:val="32"/>
        </w:rPr>
        <w:t>N</w:t>
      </w:r>
      <w:r w:rsidR="00FC75EF">
        <w:rPr>
          <w:rFonts w:ascii="Arial" w:hAnsi="Arial" w:cs="Arial"/>
          <w:sz w:val="32"/>
          <w:szCs w:val="32"/>
        </w:rPr>
        <w:t>o item 5.1</w:t>
      </w:r>
      <w:r>
        <w:rPr>
          <w:rFonts w:ascii="Arial" w:hAnsi="Arial" w:cs="Arial"/>
          <w:sz w:val="32"/>
          <w:szCs w:val="32"/>
        </w:rPr>
        <w:t xml:space="preserve"> do relatório da Auditoria</w:t>
      </w:r>
      <w:r w:rsidR="00FC75EF">
        <w:rPr>
          <w:rFonts w:ascii="Arial" w:hAnsi="Arial" w:cs="Arial"/>
          <w:sz w:val="32"/>
          <w:szCs w:val="32"/>
        </w:rPr>
        <w:t>, que trata do CAPEX</w:t>
      </w:r>
      <w:r w:rsidR="00897068">
        <w:rPr>
          <w:rFonts w:ascii="Arial" w:hAnsi="Arial" w:cs="Arial"/>
          <w:sz w:val="32"/>
          <w:szCs w:val="32"/>
        </w:rPr>
        <w:t xml:space="preserve"> (</w:t>
      </w:r>
      <w:r w:rsidR="00FD509B">
        <w:rPr>
          <w:rFonts w:ascii="Arial" w:hAnsi="Arial" w:cs="Arial"/>
          <w:sz w:val="32"/>
          <w:szCs w:val="32"/>
        </w:rPr>
        <w:t>que corresponde aos valores de investimento</w:t>
      </w:r>
      <w:r w:rsidR="00897068">
        <w:rPr>
          <w:rFonts w:ascii="Arial" w:hAnsi="Arial" w:cs="Arial"/>
          <w:sz w:val="32"/>
          <w:szCs w:val="32"/>
        </w:rPr>
        <w:t>)</w:t>
      </w:r>
      <w:r w:rsidR="00FC75EF">
        <w:rPr>
          <w:rFonts w:ascii="Arial" w:hAnsi="Arial" w:cs="Arial"/>
          <w:sz w:val="32"/>
          <w:szCs w:val="32"/>
        </w:rPr>
        <w:t xml:space="preserve"> e OPEX</w:t>
      </w:r>
      <w:r w:rsidR="00897068">
        <w:rPr>
          <w:rFonts w:ascii="Arial" w:hAnsi="Arial" w:cs="Arial"/>
          <w:sz w:val="32"/>
          <w:szCs w:val="32"/>
        </w:rPr>
        <w:t xml:space="preserve"> (</w:t>
      </w:r>
      <w:r w:rsidR="00FD509B">
        <w:rPr>
          <w:rFonts w:ascii="Arial" w:hAnsi="Arial" w:cs="Arial"/>
          <w:sz w:val="32"/>
          <w:szCs w:val="32"/>
        </w:rPr>
        <w:t>que se refere aos custos operacionais</w:t>
      </w:r>
      <w:r w:rsidR="00897068">
        <w:rPr>
          <w:rFonts w:ascii="Arial" w:hAnsi="Arial" w:cs="Arial"/>
          <w:sz w:val="32"/>
          <w:szCs w:val="32"/>
        </w:rPr>
        <w:t>)</w:t>
      </w:r>
      <w:r w:rsidR="00FC75EF">
        <w:rPr>
          <w:rFonts w:ascii="Arial" w:hAnsi="Arial" w:cs="Arial"/>
          <w:sz w:val="32"/>
          <w:szCs w:val="32"/>
        </w:rPr>
        <w:t>, a Auditoria aponta que:</w:t>
      </w:r>
      <w:bookmarkEnd w:id="6"/>
    </w:p>
    <w:p w14:paraId="576CFF9D" w14:textId="77777777" w:rsidR="00FC75EF" w:rsidRPr="009277F7" w:rsidRDefault="00FC75EF" w:rsidP="00897068">
      <w:pPr>
        <w:ind w:left="1134"/>
        <w:jc w:val="both"/>
        <w:rPr>
          <w:rFonts w:ascii="Arial" w:hAnsi="Arial" w:cs="Arial"/>
          <w:sz w:val="32"/>
          <w:szCs w:val="32"/>
        </w:rPr>
      </w:pPr>
      <w:r>
        <w:rPr>
          <w:rFonts w:ascii="Arial" w:hAnsi="Arial" w:cs="Arial"/>
          <w:sz w:val="32"/>
          <w:szCs w:val="32"/>
        </w:rPr>
        <w:br/>
      </w:r>
      <w:r>
        <w:rPr>
          <w:rFonts w:ascii="Arial" w:eastAsia="Times New Roman" w:hAnsi="Arial" w:cs="Arial"/>
          <w:i/>
          <w:sz w:val="32"/>
          <w:szCs w:val="32"/>
        </w:rPr>
        <w:t xml:space="preserve">(...) </w:t>
      </w:r>
      <w:r w:rsidRPr="005613B5">
        <w:rPr>
          <w:rFonts w:ascii="Arial" w:eastAsia="Times New Roman" w:hAnsi="Arial" w:cs="Arial"/>
          <w:i/>
          <w:sz w:val="32"/>
          <w:szCs w:val="32"/>
        </w:rPr>
        <w:t>no Relatório Conclusivo de Acompanhamento do Edital nº 01/19 da CET, acompanhado por este Tribunal no âmbito do e-TCM nº 000074/2020, foi constatado que os serviços de manutenção preventiva não fazem parte do escopo da contratação pretendida naquele certame. Ou seja, o orçamento de referência utilizado para a formatação da análise econômica que comprovaria a suposta vantajosidade da incorporação do sistema semafórico à concessão da iluminação pública não contempla todos os serviços necessários, haja vista que nem os serviços de manutenção preventiva nem os de manutenção preditiva estão nele incluídos.</w:t>
      </w:r>
    </w:p>
    <w:p w14:paraId="0B96FF88" w14:textId="77777777" w:rsidR="00FC75EF" w:rsidRPr="00807DF8" w:rsidRDefault="00FC75EF" w:rsidP="00FC75EF">
      <w:pPr>
        <w:jc w:val="both"/>
        <w:rPr>
          <w:rFonts w:ascii="Arial" w:hAnsi="Arial" w:cs="Arial"/>
          <w:sz w:val="32"/>
          <w:szCs w:val="32"/>
        </w:rPr>
      </w:pPr>
    </w:p>
    <w:p w14:paraId="3AD5C18C" w14:textId="4C16235B" w:rsidR="00461A29" w:rsidRPr="00807DF8" w:rsidRDefault="00D61E66" w:rsidP="00FA5B99">
      <w:pPr>
        <w:ind w:firstLine="708"/>
        <w:jc w:val="both"/>
        <w:rPr>
          <w:rFonts w:ascii="Arial" w:hAnsi="Arial" w:cs="Arial"/>
          <w:sz w:val="32"/>
          <w:szCs w:val="32"/>
        </w:rPr>
      </w:pPr>
      <w:r w:rsidRPr="00807DF8">
        <w:rPr>
          <w:rFonts w:ascii="Arial" w:hAnsi="Arial" w:cs="Arial"/>
          <w:sz w:val="32"/>
          <w:szCs w:val="32"/>
        </w:rPr>
        <w:t xml:space="preserve">Entendo que o apontamento da </w:t>
      </w:r>
      <w:r w:rsidR="00FA5B99">
        <w:rPr>
          <w:rFonts w:ascii="Arial" w:hAnsi="Arial" w:cs="Arial"/>
          <w:sz w:val="32"/>
          <w:szCs w:val="32"/>
        </w:rPr>
        <w:t>A</w:t>
      </w:r>
      <w:r w:rsidRPr="00807DF8">
        <w:rPr>
          <w:rFonts w:ascii="Arial" w:hAnsi="Arial" w:cs="Arial"/>
          <w:sz w:val="32"/>
          <w:szCs w:val="32"/>
        </w:rPr>
        <w:t>uditoria carece de fundamento lógico. A ausência de previsão de manutenção preventiva no orçamento da licitação referencial implica</w:t>
      </w:r>
      <w:r w:rsidR="001F07F0" w:rsidRPr="00807DF8">
        <w:rPr>
          <w:rFonts w:ascii="Arial" w:hAnsi="Arial" w:cs="Arial"/>
          <w:sz w:val="32"/>
          <w:szCs w:val="32"/>
        </w:rPr>
        <w:t xml:space="preserve"> na</w:t>
      </w:r>
      <w:r w:rsidRPr="00807DF8">
        <w:rPr>
          <w:rFonts w:ascii="Arial" w:hAnsi="Arial" w:cs="Arial"/>
          <w:sz w:val="32"/>
          <w:szCs w:val="32"/>
        </w:rPr>
        <w:t xml:space="preserve"> </w:t>
      </w:r>
      <w:r w:rsidRPr="00807DF8">
        <w:rPr>
          <w:rFonts w:ascii="Arial" w:hAnsi="Arial" w:cs="Arial"/>
          <w:sz w:val="32"/>
          <w:szCs w:val="32"/>
        </w:rPr>
        <w:lastRenderedPageBreak/>
        <w:t>diminuiç</w:t>
      </w:r>
      <w:r w:rsidR="001F07F0" w:rsidRPr="00807DF8">
        <w:rPr>
          <w:rFonts w:ascii="Arial" w:hAnsi="Arial" w:cs="Arial"/>
          <w:sz w:val="32"/>
          <w:szCs w:val="32"/>
        </w:rPr>
        <w:t>ão d</w:t>
      </w:r>
      <w:r w:rsidRPr="00807DF8">
        <w:rPr>
          <w:rFonts w:ascii="Arial" w:hAnsi="Arial" w:cs="Arial"/>
          <w:sz w:val="32"/>
          <w:szCs w:val="32"/>
        </w:rPr>
        <w:t>os custos dessa contratação,</w:t>
      </w:r>
      <w:r w:rsidR="00461A29" w:rsidRPr="00807DF8">
        <w:rPr>
          <w:rFonts w:ascii="Arial" w:hAnsi="Arial" w:cs="Arial"/>
          <w:sz w:val="32"/>
          <w:szCs w:val="32"/>
        </w:rPr>
        <w:t xml:space="preserve"> ou seja, caso </w:t>
      </w:r>
      <w:r w:rsidR="009B2096" w:rsidRPr="00807DF8">
        <w:rPr>
          <w:rFonts w:ascii="Arial" w:hAnsi="Arial" w:cs="Arial"/>
          <w:sz w:val="32"/>
          <w:szCs w:val="32"/>
        </w:rPr>
        <w:t xml:space="preserve">esse tipo de serviço </w:t>
      </w:r>
      <w:r w:rsidR="00461A29" w:rsidRPr="00807DF8">
        <w:rPr>
          <w:rFonts w:ascii="Arial" w:hAnsi="Arial" w:cs="Arial"/>
          <w:sz w:val="32"/>
          <w:szCs w:val="32"/>
        </w:rPr>
        <w:t xml:space="preserve">houvesse sido previsto </w:t>
      </w:r>
      <w:r w:rsidR="009B2096" w:rsidRPr="00807DF8">
        <w:rPr>
          <w:rFonts w:ascii="Arial" w:hAnsi="Arial" w:cs="Arial"/>
          <w:sz w:val="32"/>
          <w:szCs w:val="32"/>
        </w:rPr>
        <w:t xml:space="preserve">no orçamento de referência (Edital de licitação nº 01/19) seu valor </w:t>
      </w:r>
      <w:r w:rsidR="001F07F0" w:rsidRPr="00807DF8">
        <w:rPr>
          <w:rFonts w:ascii="Arial" w:hAnsi="Arial" w:cs="Arial"/>
          <w:sz w:val="32"/>
          <w:szCs w:val="32"/>
        </w:rPr>
        <w:t>seria</w:t>
      </w:r>
      <w:r w:rsidR="009B2096" w:rsidRPr="00807DF8">
        <w:rPr>
          <w:rFonts w:ascii="Arial" w:hAnsi="Arial" w:cs="Arial"/>
          <w:sz w:val="32"/>
          <w:szCs w:val="32"/>
        </w:rPr>
        <w:t xml:space="preserve"> ainda maior do que aquele que </w:t>
      </w:r>
      <w:r w:rsidR="001F07F0" w:rsidRPr="00807DF8">
        <w:rPr>
          <w:rFonts w:ascii="Arial" w:hAnsi="Arial" w:cs="Arial"/>
          <w:sz w:val="32"/>
          <w:szCs w:val="32"/>
        </w:rPr>
        <w:t xml:space="preserve">foi considerado para </w:t>
      </w:r>
      <w:r w:rsidR="009B2096" w:rsidRPr="00807DF8">
        <w:rPr>
          <w:rFonts w:ascii="Arial" w:hAnsi="Arial" w:cs="Arial"/>
          <w:sz w:val="32"/>
          <w:szCs w:val="32"/>
        </w:rPr>
        <w:t xml:space="preserve">comparação. Assim, a conclusão lógica é </w:t>
      </w:r>
      <w:r w:rsidR="00461A29" w:rsidRPr="00807DF8">
        <w:rPr>
          <w:rFonts w:ascii="Arial" w:hAnsi="Arial" w:cs="Arial"/>
          <w:sz w:val="32"/>
          <w:szCs w:val="32"/>
        </w:rPr>
        <w:t>que o percentual de vantajosidade indicado nos pareceres apresentados pela Origem seria ainda maior, não o contrário.</w:t>
      </w:r>
      <w:r w:rsidRPr="00807DF8">
        <w:rPr>
          <w:rFonts w:ascii="Arial" w:hAnsi="Arial" w:cs="Arial"/>
          <w:sz w:val="32"/>
          <w:szCs w:val="32"/>
        </w:rPr>
        <w:t xml:space="preserve"> </w:t>
      </w:r>
    </w:p>
    <w:p w14:paraId="356EFA17" w14:textId="77777777" w:rsidR="00DE57E7" w:rsidRPr="00807DF8" w:rsidRDefault="00DE57E7" w:rsidP="00873BEF">
      <w:pPr>
        <w:ind w:firstLine="708"/>
        <w:jc w:val="both"/>
        <w:rPr>
          <w:rFonts w:ascii="Arial" w:hAnsi="Arial" w:cs="Arial"/>
          <w:sz w:val="32"/>
          <w:szCs w:val="32"/>
        </w:rPr>
      </w:pPr>
      <w:r w:rsidRPr="00807DF8">
        <w:rPr>
          <w:rFonts w:ascii="Arial" w:hAnsi="Arial" w:cs="Arial"/>
          <w:sz w:val="32"/>
          <w:szCs w:val="32"/>
        </w:rPr>
        <w:t xml:space="preserve">A manutenção preventiva e preditiva são condições fundamentais para a redução de falhas e preservação da qualidade dos serviços. Além disso, a manutenção preventiva é aspecto corretamente defendido na Nota elaborada pela SP Parcerias como uma das vantajosidades do modelo pretendido pela Administração. </w:t>
      </w:r>
    </w:p>
    <w:p w14:paraId="7D7D2336" w14:textId="434E6BED" w:rsidR="00D61E66" w:rsidRPr="00807DF8" w:rsidRDefault="00873BEF" w:rsidP="00873BEF">
      <w:pPr>
        <w:ind w:firstLine="708"/>
        <w:jc w:val="both"/>
        <w:rPr>
          <w:rFonts w:ascii="Arial" w:hAnsi="Arial" w:cs="Arial"/>
          <w:sz w:val="32"/>
          <w:szCs w:val="32"/>
        </w:rPr>
      </w:pPr>
      <w:r w:rsidRPr="00807DF8">
        <w:rPr>
          <w:rFonts w:ascii="Arial" w:hAnsi="Arial" w:cs="Arial"/>
          <w:sz w:val="32"/>
          <w:szCs w:val="32"/>
        </w:rPr>
        <w:t>Dessa forma</w:t>
      </w:r>
      <w:r w:rsidR="001F07F0" w:rsidRPr="00807DF8">
        <w:rPr>
          <w:rFonts w:ascii="Arial" w:hAnsi="Arial" w:cs="Arial"/>
          <w:sz w:val="32"/>
          <w:szCs w:val="32"/>
        </w:rPr>
        <w:t>, entendo que a constatação da Auditoria, neste ponto específico, ainda que demonstre certa dificuldade na comparação entre os dois modelos de contratação, reforça a indicação</w:t>
      </w:r>
      <w:r w:rsidR="00D61E66" w:rsidRPr="00807DF8">
        <w:rPr>
          <w:rFonts w:ascii="Arial" w:hAnsi="Arial" w:cs="Arial"/>
          <w:sz w:val="32"/>
          <w:szCs w:val="32"/>
        </w:rPr>
        <w:t xml:space="preserve"> </w:t>
      </w:r>
      <w:r w:rsidR="001F07F0" w:rsidRPr="00807DF8">
        <w:rPr>
          <w:rFonts w:ascii="Arial" w:hAnsi="Arial" w:cs="Arial"/>
          <w:sz w:val="32"/>
          <w:szCs w:val="32"/>
        </w:rPr>
        <w:t xml:space="preserve">da </w:t>
      </w:r>
      <w:r w:rsidR="00D61E66" w:rsidRPr="00807DF8">
        <w:rPr>
          <w:rFonts w:ascii="Arial" w:hAnsi="Arial" w:cs="Arial"/>
          <w:sz w:val="32"/>
          <w:szCs w:val="32"/>
        </w:rPr>
        <w:t xml:space="preserve">vantajosidade da opção da </w:t>
      </w:r>
      <w:r w:rsidR="001F07F0" w:rsidRPr="00807DF8">
        <w:rPr>
          <w:rFonts w:ascii="Arial" w:hAnsi="Arial" w:cs="Arial"/>
          <w:sz w:val="32"/>
          <w:szCs w:val="32"/>
        </w:rPr>
        <w:t>A</w:t>
      </w:r>
      <w:r w:rsidR="00D61E66" w:rsidRPr="00807DF8">
        <w:rPr>
          <w:rFonts w:ascii="Arial" w:hAnsi="Arial" w:cs="Arial"/>
          <w:sz w:val="32"/>
          <w:szCs w:val="32"/>
        </w:rPr>
        <w:t>dministraç</w:t>
      </w:r>
      <w:r w:rsidR="00461A29" w:rsidRPr="00807DF8">
        <w:rPr>
          <w:rFonts w:ascii="Arial" w:hAnsi="Arial" w:cs="Arial"/>
          <w:sz w:val="32"/>
          <w:szCs w:val="32"/>
        </w:rPr>
        <w:t>ão,</w:t>
      </w:r>
      <w:r w:rsidR="00D61E66" w:rsidRPr="00807DF8">
        <w:rPr>
          <w:rFonts w:ascii="Arial" w:hAnsi="Arial" w:cs="Arial"/>
          <w:sz w:val="32"/>
          <w:szCs w:val="32"/>
        </w:rPr>
        <w:t xml:space="preserve"> que, acertadamente, inclui</w:t>
      </w:r>
      <w:r w:rsidR="001F07F0" w:rsidRPr="00807DF8">
        <w:rPr>
          <w:rFonts w:ascii="Arial" w:hAnsi="Arial" w:cs="Arial"/>
          <w:sz w:val="32"/>
          <w:szCs w:val="32"/>
        </w:rPr>
        <w:t>u</w:t>
      </w:r>
      <w:r w:rsidR="00D61E66" w:rsidRPr="00807DF8">
        <w:rPr>
          <w:rFonts w:ascii="Arial" w:hAnsi="Arial" w:cs="Arial"/>
          <w:sz w:val="32"/>
          <w:szCs w:val="32"/>
        </w:rPr>
        <w:t xml:space="preserve"> </w:t>
      </w:r>
      <w:r w:rsidR="009B2096" w:rsidRPr="00807DF8">
        <w:rPr>
          <w:rFonts w:ascii="Arial" w:hAnsi="Arial" w:cs="Arial"/>
          <w:sz w:val="32"/>
          <w:szCs w:val="32"/>
        </w:rPr>
        <w:t xml:space="preserve">a </w:t>
      </w:r>
      <w:r w:rsidR="00461A29" w:rsidRPr="00807DF8">
        <w:rPr>
          <w:rFonts w:ascii="Arial" w:hAnsi="Arial" w:cs="Arial"/>
          <w:sz w:val="32"/>
          <w:szCs w:val="32"/>
        </w:rPr>
        <w:t>manutenção preventiva</w:t>
      </w:r>
      <w:r w:rsidR="001F07F0" w:rsidRPr="00807DF8">
        <w:rPr>
          <w:rFonts w:ascii="Arial" w:hAnsi="Arial" w:cs="Arial"/>
          <w:sz w:val="32"/>
          <w:szCs w:val="32"/>
        </w:rPr>
        <w:t xml:space="preserve"> do parque semafórico como um dos serviços a serem incorporados à PPP da Iluminação.</w:t>
      </w:r>
    </w:p>
    <w:p w14:paraId="44BCCD2C" w14:textId="77777777" w:rsidR="00D61E66" w:rsidRPr="00807DF8" w:rsidRDefault="00D61E66" w:rsidP="00FC75EF">
      <w:pPr>
        <w:jc w:val="both"/>
        <w:rPr>
          <w:rFonts w:ascii="Arial" w:hAnsi="Arial" w:cs="Arial"/>
          <w:sz w:val="32"/>
          <w:szCs w:val="32"/>
        </w:rPr>
      </w:pPr>
    </w:p>
    <w:p w14:paraId="1A17E2E2" w14:textId="77777777" w:rsidR="00FC75EF" w:rsidRPr="00807DF8" w:rsidRDefault="00FC75EF" w:rsidP="00873BEF">
      <w:pPr>
        <w:ind w:firstLine="708"/>
        <w:jc w:val="both"/>
        <w:rPr>
          <w:rFonts w:ascii="Arial" w:hAnsi="Arial" w:cs="Arial"/>
          <w:sz w:val="32"/>
          <w:szCs w:val="32"/>
        </w:rPr>
      </w:pPr>
      <w:r w:rsidRPr="00807DF8">
        <w:rPr>
          <w:rFonts w:ascii="Arial" w:hAnsi="Arial" w:cs="Arial"/>
          <w:sz w:val="32"/>
          <w:szCs w:val="32"/>
        </w:rPr>
        <w:t>Ainda nesse item, a Auditoria aponta que:</w:t>
      </w:r>
    </w:p>
    <w:p w14:paraId="2167C009" w14:textId="77777777" w:rsidR="00FC75EF" w:rsidRPr="00807DF8" w:rsidRDefault="00FC75EF" w:rsidP="00FC75EF">
      <w:pPr>
        <w:ind w:left="1134"/>
        <w:jc w:val="both"/>
        <w:rPr>
          <w:rFonts w:ascii="Arial" w:eastAsia="Times New Roman" w:hAnsi="Arial" w:cs="Arial"/>
          <w:i/>
          <w:sz w:val="32"/>
          <w:szCs w:val="32"/>
        </w:rPr>
      </w:pPr>
      <w:r w:rsidRPr="00807DF8">
        <w:rPr>
          <w:rFonts w:ascii="Arial" w:eastAsia="Times New Roman" w:hAnsi="Arial" w:cs="Arial"/>
          <w:i/>
          <w:sz w:val="32"/>
          <w:szCs w:val="32"/>
        </w:rPr>
        <w:t xml:space="preserve">(...) da Nota Técnica da SP Parcerias obtém-se a informação de que os valores de investimentos (CAPEX) adotados na proposta da Concessionária são os mesmos para os diferentes cenários, R$ 999 mi (fl. 765 da peça 2), na data base de dezembro/2019 (fl. 760 da peça 2). Também é informado nessa Nota Técnica que a taxa de reinvestimento adotada é equivalente a 10% do CAPEX a cada 5 anos, de modo linear no fluxo do tempo, fl. 766 da peça 2, e que não foram considerados custos de reinvestimentos para alguns </w:t>
      </w:r>
      <w:r w:rsidRPr="00807DF8">
        <w:rPr>
          <w:rFonts w:ascii="Arial" w:eastAsia="Times New Roman" w:hAnsi="Arial" w:cs="Arial"/>
          <w:i/>
          <w:sz w:val="32"/>
          <w:szCs w:val="32"/>
        </w:rPr>
        <w:lastRenderedPageBreak/>
        <w:t xml:space="preserve">itens, fl. 765 da peça 2, embora, em relação a este último, não fique claro a qual montante está se referindo, supondo-se que sejam as câmeras de segurança. </w:t>
      </w:r>
    </w:p>
    <w:p w14:paraId="243EDB22" w14:textId="77777777" w:rsidR="00FC75EF" w:rsidRPr="00807DF8" w:rsidRDefault="00FC75EF" w:rsidP="00FC75EF">
      <w:pPr>
        <w:ind w:left="1134"/>
        <w:jc w:val="both"/>
        <w:rPr>
          <w:rFonts w:ascii="Arial" w:eastAsia="Times New Roman" w:hAnsi="Arial" w:cs="Arial"/>
          <w:i/>
          <w:sz w:val="32"/>
          <w:szCs w:val="32"/>
        </w:rPr>
      </w:pPr>
      <w:r w:rsidRPr="00807DF8">
        <w:rPr>
          <w:rFonts w:ascii="Arial" w:eastAsia="Times New Roman" w:hAnsi="Arial" w:cs="Arial"/>
          <w:i/>
          <w:sz w:val="32"/>
          <w:szCs w:val="32"/>
        </w:rPr>
        <w:t>Considerando essa taxa de reinvestimento informada, de 10% a cada 5 anos, chega-se à conclusão, teoricamente, que a previsão para a substituição integral do parque semafórico após a modernização ocorreria após cerca de 50 anos.</w:t>
      </w:r>
    </w:p>
    <w:p w14:paraId="1A69743B" w14:textId="77777777" w:rsidR="00DE57E7" w:rsidRPr="00807DF8" w:rsidRDefault="00DE57E7" w:rsidP="00FC0F2A">
      <w:pPr>
        <w:ind w:firstLine="708"/>
        <w:jc w:val="both"/>
        <w:rPr>
          <w:rFonts w:ascii="Arial" w:hAnsi="Arial" w:cs="Arial"/>
          <w:sz w:val="32"/>
          <w:szCs w:val="32"/>
        </w:rPr>
      </w:pPr>
      <w:r w:rsidRPr="00807DF8">
        <w:rPr>
          <w:rFonts w:ascii="Arial" w:hAnsi="Arial" w:cs="Arial"/>
          <w:sz w:val="32"/>
          <w:szCs w:val="32"/>
        </w:rPr>
        <w:t>Em relação a este apontamento, é importante trazer à baila a indicação do parecer econômico</w:t>
      </w:r>
      <w:r w:rsidR="009B2096" w:rsidRPr="00807DF8">
        <w:rPr>
          <w:rFonts w:ascii="Arial" w:hAnsi="Arial" w:cs="Arial"/>
          <w:sz w:val="32"/>
          <w:szCs w:val="32"/>
        </w:rPr>
        <w:t xml:space="preserve"> que instruiu inicialmente os autos quanto à utilização</w:t>
      </w:r>
      <w:r w:rsidRPr="00807DF8">
        <w:rPr>
          <w:rFonts w:ascii="Arial" w:hAnsi="Arial" w:cs="Arial"/>
          <w:sz w:val="32"/>
          <w:szCs w:val="32"/>
        </w:rPr>
        <w:t xml:space="preserve"> </w:t>
      </w:r>
      <w:r w:rsidR="009B2096" w:rsidRPr="00807DF8">
        <w:rPr>
          <w:rFonts w:ascii="Arial" w:hAnsi="Arial" w:cs="Arial"/>
          <w:sz w:val="32"/>
          <w:szCs w:val="32"/>
        </w:rPr>
        <w:t>d</w:t>
      </w:r>
      <w:r w:rsidRPr="00807DF8">
        <w:rPr>
          <w:rFonts w:ascii="Arial" w:hAnsi="Arial" w:cs="Arial"/>
          <w:sz w:val="32"/>
          <w:szCs w:val="32"/>
        </w:rPr>
        <w:t xml:space="preserve">a seguinte premissa para realização de seus cálculos: </w:t>
      </w:r>
    </w:p>
    <w:p w14:paraId="5A9CBCD8" w14:textId="77777777" w:rsidR="00DE57E7" w:rsidRPr="00807DF8" w:rsidRDefault="00DE57E7" w:rsidP="00DE57E7">
      <w:pPr>
        <w:ind w:left="1134"/>
        <w:jc w:val="both"/>
        <w:rPr>
          <w:rFonts w:ascii="Arial" w:hAnsi="Arial" w:cs="Arial"/>
          <w:sz w:val="32"/>
          <w:szCs w:val="32"/>
        </w:rPr>
      </w:pPr>
      <w:r w:rsidRPr="00807DF8">
        <w:rPr>
          <w:rFonts w:ascii="Arial" w:hAnsi="Arial" w:cs="Arial"/>
          <w:i/>
          <w:sz w:val="32"/>
          <w:szCs w:val="32"/>
        </w:rPr>
        <w:t>Em todos os cenários contendo serviços semafóricos utilizou-se como premissa que o valor da respectiva contraprestação mensal seria o valor total de CAPEX e OPEX do Edital nº 01/19 dividido por 60 meses (cinco anos).</w:t>
      </w:r>
      <w:r w:rsidR="009B2096" w:rsidRPr="00807DF8">
        <w:rPr>
          <w:rFonts w:ascii="Arial" w:hAnsi="Arial" w:cs="Arial"/>
          <w:i/>
          <w:sz w:val="32"/>
          <w:szCs w:val="32"/>
        </w:rPr>
        <w:t xml:space="preserve"> (doc. 02, fl. 521).</w:t>
      </w:r>
      <w:r w:rsidRPr="00807DF8">
        <w:rPr>
          <w:rFonts w:ascii="Arial" w:hAnsi="Arial" w:cs="Arial"/>
          <w:sz w:val="32"/>
          <w:szCs w:val="32"/>
        </w:rPr>
        <w:t xml:space="preserve"> </w:t>
      </w:r>
    </w:p>
    <w:p w14:paraId="4A059A43" w14:textId="77777777" w:rsidR="00DE57E7" w:rsidRPr="00807DF8" w:rsidRDefault="00DE57E7" w:rsidP="00111C0A">
      <w:pPr>
        <w:ind w:firstLine="708"/>
        <w:jc w:val="both"/>
        <w:rPr>
          <w:rFonts w:ascii="Arial" w:hAnsi="Arial" w:cs="Arial"/>
          <w:sz w:val="32"/>
          <w:szCs w:val="32"/>
        </w:rPr>
      </w:pPr>
      <w:r w:rsidRPr="00807DF8">
        <w:rPr>
          <w:rFonts w:ascii="Arial" w:hAnsi="Arial" w:cs="Arial"/>
          <w:sz w:val="32"/>
          <w:szCs w:val="32"/>
        </w:rPr>
        <w:t>Tal premissa, indica o citado parecer econômico, implica que a Concessionária assumiria o contrato exatamente pelo valor estimado pela Prefeitura na ocasião do edital de referência (Edital nº 01/19), após atualização monetária pelo índice escolhido para tanto.</w:t>
      </w:r>
    </w:p>
    <w:p w14:paraId="53FBD67A" w14:textId="77777777" w:rsidR="00DE57E7" w:rsidRPr="00807DF8" w:rsidRDefault="00DE57E7" w:rsidP="00111C0A">
      <w:pPr>
        <w:ind w:firstLine="708"/>
        <w:jc w:val="both"/>
        <w:rPr>
          <w:rFonts w:ascii="Arial" w:hAnsi="Arial" w:cs="Arial"/>
          <w:sz w:val="32"/>
          <w:szCs w:val="32"/>
        </w:rPr>
      </w:pPr>
      <w:r w:rsidRPr="00807DF8">
        <w:rPr>
          <w:rFonts w:ascii="Arial" w:hAnsi="Arial" w:cs="Arial"/>
          <w:sz w:val="32"/>
          <w:szCs w:val="32"/>
        </w:rPr>
        <w:t xml:space="preserve">Da análise das constatações da </w:t>
      </w:r>
      <w:r w:rsidR="00744013" w:rsidRPr="00807DF8">
        <w:rPr>
          <w:rFonts w:ascii="Arial" w:hAnsi="Arial" w:cs="Arial"/>
          <w:sz w:val="32"/>
          <w:szCs w:val="32"/>
        </w:rPr>
        <w:t>A</w:t>
      </w:r>
      <w:r w:rsidRPr="00807DF8">
        <w:rPr>
          <w:rFonts w:ascii="Arial" w:hAnsi="Arial" w:cs="Arial"/>
          <w:sz w:val="32"/>
          <w:szCs w:val="32"/>
        </w:rPr>
        <w:t xml:space="preserve">uditoria, não há qualquer indicação de incorreção em relação à </w:t>
      </w:r>
      <w:r w:rsidR="00744013" w:rsidRPr="00807DF8">
        <w:rPr>
          <w:rFonts w:ascii="Arial" w:hAnsi="Arial" w:cs="Arial"/>
          <w:sz w:val="32"/>
          <w:szCs w:val="32"/>
        </w:rPr>
        <w:t xml:space="preserve">premissa utilizada, à exceção do questionamento quanto ao índice </w:t>
      </w:r>
      <w:r w:rsidR="009B2096" w:rsidRPr="00807DF8">
        <w:rPr>
          <w:rFonts w:ascii="Arial" w:hAnsi="Arial" w:cs="Arial"/>
          <w:sz w:val="32"/>
          <w:szCs w:val="32"/>
        </w:rPr>
        <w:t>de atualização aplicado</w:t>
      </w:r>
      <w:r w:rsidR="00744013" w:rsidRPr="00807DF8">
        <w:rPr>
          <w:rFonts w:ascii="Arial" w:hAnsi="Arial" w:cs="Arial"/>
          <w:sz w:val="32"/>
          <w:szCs w:val="32"/>
        </w:rPr>
        <w:t>. Assim</w:t>
      </w:r>
      <w:r w:rsidR="00744013" w:rsidRPr="00807DF8">
        <w:rPr>
          <w:rFonts w:ascii="Arial" w:hAnsi="Arial" w:cs="Arial"/>
          <w:b/>
          <w:sz w:val="32"/>
          <w:szCs w:val="32"/>
          <w:u w:val="single"/>
        </w:rPr>
        <w:t>, resta validada a forma de remuneração considerada nos pareceres econômicos apresentados pela Administração</w:t>
      </w:r>
      <w:r w:rsidR="00744013" w:rsidRPr="00807DF8">
        <w:rPr>
          <w:rFonts w:ascii="Arial" w:hAnsi="Arial" w:cs="Arial"/>
          <w:sz w:val="32"/>
          <w:szCs w:val="32"/>
        </w:rPr>
        <w:t>, ressalvada a questão quanto ao índice de atualização</w:t>
      </w:r>
      <w:r w:rsidR="000B7AFC" w:rsidRPr="00807DF8">
        <w:rPr>
          <w:rFonts w:ascii="Arial" w:hAnsi="Arial" w:cs="Arial"/>
          <w:sz w:val="32"/>
          <w:szCs w:val="32"/>
        </w:rPr>
        <w:t xml:space="preserve"> (</w:t>
      </w:r>
      <w:r w:rsidR="00744013" w:rsidRPr="00807DF8">
        <w:rPr>
          <w:rFonts w:ascii="Arial" w:hAnsi="Arial" w:cs="Arial"/>
          <w:sz w:val="32"/>
          <w:szCs w:val="32"/>
        </w:rPr>
        <w:t>que será adiante objeto de</w:t>
      </w:r>
      <w:r w:rsidR="000B7AFC" w:rsidRPr="00807DF8">
        <w:rPr>
          <w:rFonts w:ascii="Arial" w:hAnsi="Arial" w:cs="Arial"/>
          <w:sz w:val="32"/>
          <w:szCs w:val="32"/>
        </w:rPr>
        <w:t>ste voto</w:t>
      </w:r>
      <w:r w:rsidR="00744013" w:rsidRPr="00807DF8">
        <w:rPr>
          <w:rFonts w:ascii="Arial" w:hAnsi="Arial" w:cs="Arial"/>
          <w:sz w:val="32"/>
          <w:szCs w:val="32"/>
        </w:rPr>
        <w:t>).</w:t>
      </w:r>
    </w:p>
    <w:p w14:paraId="7F5FF3DD" w14:textId="77777777" w:rsidR="00744013" w:rsidRPr="00807DF8" w:rsidRDefault="00744013" w:rsidP="00C52386">
      <w:pPr>
        <w:ind w:firstLine="708"/>
        <w:jc w:val="both"/>
        <w:rPr>
          <w:rFonts w:ascii="Arial" w:hAnsi="Arial" w:cs="Arial"/>
          <w:sz w:val="32"/>
          <w:szCs w:val="32"/>
        </w:rPr>
      </w:pPr>
      <w:r w:rsidRPr="00807DF8">
        <w:rPr>
          <w:rFonts w:ascii="Arial" w:hAnsi="Arial" w:cs="Arial"/>
          <w:sz w:val="32"/>
          <w:szCs w:val="32"/>
        </w:rPr>
        <w:lastRenderedPageBreak/>
        <w:t xml:space="preserve">Há, contudo, aspecto relevante aduzido pela Equipe Técnica desta Corte quanto à taxa de reinvestimento </w:t>
      </w:r>
      <w:r w:rsidR="00E1482D" w:rsidRPr="00807DF8">
        <w:rPr>
          <w:rFonts w:ascii="Arial" w:hAnsi="Arial" w:cs="Arial"/>
          <w:sz w:val="32"/>
          <w:szCs w:val="32"/>
        </w:rPr>
        <w:t>considerada nos cálculos dos pareceres econômicos apresentados pela Administração</w:t>
      </w:r>
      <w:r w:rsidRPr="00807DF8">
        <w:rPr>
          <w:rFonts w:ascii="Arial" w:hAnsi="Arial" w:cs="Arial"/>
          <w:sz w:val="32"/>
          <w:szCs w:val="32"/>
        </w:rPr>
        <w:t>.</w:t>
      </w:r>
    </w:p>
    <w:p w14:paraId="1F1B548E" w14:textId="77777777" w:rsidR="00FC75EF" w:rsidRPr="00807DF8" w:rsidRDefault="00744013" w:rsidP="000A4E63">
      <w:pPr>
        <w:ind w:firstLine="708"/>
        <w:jc w:val="both"/>
        <w:rPr>
          <w:rFonts w:ascii="Arial" w:hAnsi="Arial" w:cs="Arial"/>
          <w:sz w:val="32"/>
          <w:szCs w:val="32"/>
        </w:rPr>
      </w:pPr>
      <w:r w:rsidRPr="00807DF8">
        <w:rPr>
          <w:rFonts w:ascii="Arial" w:hAnsi="Arial" w:cs="Arial"/>
          <w:sz w:val="32"/>
          <w:szCs w:val="32"/>
        </w:rPr>
        <w:t>A Auditoria entende que as condições estipuladas</w:t>
      </w:r>
      <w:r w:rsidR="00E1482D" w:rsidRPr="00807DF8">
        <w:rPr>
          <w:rFonts w:ascii="Arial" w:hAnsi="Arial" w:cs="Arial"/>
          <w:sz w:val="32"/>
          <w:szCs w:val="32"/>
        </w:rPr>
        <w:t xml:space="preserve"> nos cálculos a título de </w:t>
      </w:r>
      <w:r w:rsidRPr="00807DF8">
        <w:rPr>
          <w:rFonts w:ascii="Arial" w:hAnsi="Arial" w:cs="Arial"/>
          <w:sz w:val="32"/>
          <w:szCs w:val="32"/>
        </w:rPr>
        <w:t>reinvestimento</w:t>
      </w:r>
      <w:r w:rsidR="00AC105F" w:rsidRPr="00807DF8">
        <w:rPr>
          <w:rFonts w:ascii="Arial" w:hAnsi="Arial" w:cs="Arial"/>
          <w:sz w:val="32"/>
          <w:szCs w:val="32"/>
        </w:rPr>
        <w:t>, correspondente a 10% do CAPEX a cada 5 anos</w:t>
      </w:r>
      <w:r w:rsidR="00FC75EF" w:rsidRPr="00807DF8">
        <w:rPr>
          <w:rFonts w:ascii="Arial" w:hAnsi="Arial" w:cs="Arial"/>
          <w:sz w:val="32"/>
          <w:szCs w:val="32"/>
        </w:rPr>
        <w:t xml:space="preserve">, </w:t>
      </w:r>
      <w:r w:rsidR="00AC105F" w:rsidRPr="00807DF8">
        <w:rPr>
          <w:rFonts w:ascii="Arial" w:hAnsi="Arial" w:cs="Arial"/>
          <w:sz w:val="32"/>
          <w:szCs w:val="32"/>
        </w:rPr>
        <w:t>impedem que, a longo prazo,</w:t>
      </w:r>
      <w:r w:rsidR="00FC75EF" w:rsidRPr="00807DF8">
        <w:rPr>
          <w:rFonts w:ascii="Arial" w:hAnsi="Arial" w:cs="Arial"/>
          <w:sz w:val="32"/>
          <w:szCs w:val="32"/>
        </w:rPr>
        <w:t xml:space="preserve"> a concessão dos serviços semafóricos proporcione ao município a modernização e aprimoramento contínuos necessários.</w:t>
      </w:r>
    </w:p>
    <w:p w14:paraId="76879B62" w14:textId="77777777" w:rsidR="004D3AB0" w:rsidRPr="00807DF8" w:rsidRDefault="004D3AB0" w:rsidP="000A4E63">
      <w:pPr>
        <w:ind w:firstLine="708"/>
        <w:jc w:val="both"/>
        <w:rPr>
          <w:rFonts w:ascii="Arial" w:hAnsi="Arial" w:cs="Arial"/>
          <w:sz w:val="32"/>
          <w:szCs w:val="32"/>
        </w:rPr>
      </w:pPr>
      <w:r w:rsidRPr="00807DF8">
        <w:rPr>
          <w:rFonts w:ascii="Arial" w:hAnsi="Arial" w:cs="Arial"/>
          <w:sz w:val="32"/>
          <w:szCs w:val="32"/>
        </w:rPr>
        <w:t>Entretanto, em que pese utilizar-se de exemplos relacionados ao tempo de degradação e obsolescência dos equipamentos tendo por base a última modernização ocorrida, a Auditoria não aponta em seu parecer qual o percentual de reinvestimento que deveria ser exigido do parceiro privado.</w:t>
      </w:r>
    </w:p>
    <w:p w14:paraId="4B60E999" w14:textId="586954A4" w:rsidR="0086676D" w:rsidRPr="00807DF8" w:rsidRDefault="004D3AB0" w:rsidP="00C77924">
      <w:pPr>
        <w:ind w:firstLine="708"/>
        <w:jc w:val="both"/>
        <w:rPr>
          <w:rFonts w:ascii="Arial" w:hAnsi="Arial" w:cs="Arial"/>
          <w:sz w:val="32"/>
          <w:szCs w:val="32"/>
        </w:rPr>
      </w:pPr>
      <w:r w:rsidRPr="00807DF8">
        <w:rPr>
          <w:rFonts w:ascii="Arial" w:hAnsi="Arial" w:cs="Arial"/>
          <w:sz w:val="32"/>
          <w:szCs w:val="32"/>
        </w:rPr>
        <w:t xml:space="preserve">Ademais, a Auditoria parte da premissa, a meu sentir equivocada, de que a </w:t>
      </w:r>
      <w:r w:rsidR="0068691A" w:rsidRPr="00807DF8">
        <w:rPr>
          <w:rFonts w:ascii="Arial" w:hAnsi="Arial" w:cs="Arial"/>
          <w:sz w:val="32"/>
          <w:szCs w:val="32"/>
        </w:rPr>
        <w:t>r</w:t>
      </w:r>
      <w:r w:rsidRPr="00807DF8">
        <w:rPr>
          <w:rFonts w:ascii="Arial" w:hAnsi="Arial" w:cs="Arial"/>
          <w:sz w:val="32"/>
          <w:szCs w:val="32"/>
        </w:rPr>
        <w:t>evitalização do siste</w:t>
      </w:r>
      <w:r w:rsidR="0068691A" w:rsidRPr="00807DF8">
        <w:rPr>
          <w:rFonts w:ascii="Arial" w:hAnsi="Arial" w:cs="Arial"/>
          <w:sz w:val="32"/>
          <w:szCs w:val="32"/>
        </w:rPr>
        <w:t xml:space="preserve">ma semafórico ocorrido entre o período de 2013 a 2016 tratou-se de uma modernização nos moldes que a incorporação dos serviços à PPP pretende implementar. </w:t>
      </w:r>
      <w:r w:rsidR="0086676D" w:rsidRPr="00807DF8">
        <w:rPr>
          <w:rFonts w:ascii="Arial" w:hAnsi="Arial" w:cs="Arial"/>
          <w:sz w:val="32"/>
          <w:szCs w:val="32"/>
        </w:rPr>
        <w:t>Nesse sentido, destaco a fala do Vereador Ricardo Teixeira, servidor de carreira da CET há mais de 30 anos, por ocasião da Mesa Técnica ocorrida em 21.07.2022, segundo o qual “o parque tecnológico dos semáforos na Cidade tem ao menos 20 anos de atraso tecnológico”.</w:t>
      </w:r>
    </w:p>
    <w:p w14:paraId="5FEE7B1B" w14:textId="68B63C54" w:rsidR="008C416B" w:rsidRPr="00807DF8" w:rsidRDefault="0086676D" w:rsidP="00E532BA">
      <w:pPr>
        <w:ind w:firstLine="708"/>
        <w:jc w:val="both"/>
        <w:rPr>
          <w:rFonts w:ascii="Arial" w:hAnsi="Arial" w:cs="Arial"/>
          <w:sz w:val="32"/>
          <w:szCs w:val="32"/>
        </w:rPr>
      </w:pPr>
      <w:r w:rsidRPr="00807DF8">
        <w:rPr>
          <w:rFonts w:ascii="Arial" w:hAnsi="Arial" w:cs="Arial"/>
          <w:sz w:val="32"/>
          <w:szCs w:val="32"/>
        </w:rPr>
        <w:t xml:space="preserve">Outrossim, </w:t>
      </w:r>
      <w:r w:rsidR="008C416B" w:rsidRPr="00807DF8">
        <w:rPr>
          <w:rFonts w:ascii="Arial" w:hAnsi="Arial" w:cs="Arial"/>
          <w:sz w:val="32"/>
          <w:szCs w:val="32"/>
        </w:rPr>
        <w:t xml:space="preserve">nos termos do quanto aduzido pela </w:t>
      </w:r>
      <w:r w:rsidRPr="00807DF8">
        <w:rPr>
          <w:rFonts w:ascii="Arial" w:hAnsi="Arial" w:cs="Arial"/>
          <w:sz w:val="32"/>
          <w:szCs w:val="32"/>
        </w:rPr>
        <w:t xml:space="preserve">CET </w:t>
      </w:r>
      <w:r w:rsidR="008C416B" w:rsidRPr="00807DF8">
        <w:rPr>
          <w:rFonts w:ascii="Arial" w:hAnsi="Arial" w:cs="Arial"/>
          <w:sz w:val="32"/>
          <w:szCs w:val="32"/>
        </w:rPr>
        <w:t xml:space="preserve">no </w:t>
      </w:r>
      <w:r w:rsidR="00F36410" w:rsidRPr="00707114">
        <w:rPr>
          <w:rFonts w:ascii="Arial" w:hAnsi="Arial" w:cs="Arial"/>
          <w:sz w:val="32"/>
          <w:szCs w:val="32"/>
        </w:rPr>
        <w:t xml:space="preserve">caderno de encargos da concessionária </w:t>
      </w:r>
      <w:r w:rsidR="00707114">
        <w:rPr>
          <w:rFonts w:ascii="Arial" w:hAnsi="Arial" w:cs="Arial"/>
          <w:sz w:val="32"/>
          <w:szCs w:val="32"/>
        </w:rPr>
        <w:t>(</w:t>
      </w:r>
      <w:r w:rsidR="004D6AFF">
        <w:rPr>
          <w:rFonts w:ascii="Arial" w:hAnsi="Arial" w:cs="Arial"/>
          <w:sz w:val="32"/>
          <w:szCs w:val="32"/>
        </w:rPr>
        <w:t xml:space="preserve">doc. </w:t>
      </w:r>
      <w:r w:rsidR="00707114">
        <w:rPr>
          <w:rFonts w:ascii="Arial" w:hAnsi="Arial" w:cs="Arial"/>
          <w:sz w:val="32"/>
          <w:szCs w:val="32"/>
        </w:rPr>
        <w:t>1</w:t>
      </w:r>
      <w:r w:rsidR="004D6AFF">
        <w:rPr>
          <w:rFonts w:ascii="Arial" w:hAnsi="Arial" w:cs="Arial"/>
          <w:sz w:val="32"/>
          <w:szCs w:val="32"/>
        </w:rPr>
        <w:t>1</w:t>
      </w:r>
      <w:r w:rsidR="00707114">
        <w:rPr>
          <w:rFonts w:ascii="Arial" w:hAnsi="Arial" w:cs="Arial"/>
          <w:sz w:val="32"/>
          <w:szCs w:val="32"/>
        </w:rPr>
        <w:t>1</w:t>
      </w:r>
      <w:r w:rsidR="00F36410">
        <w:rPr>
          <w:rFonts w:ascii="Arial" w:hAnsi="Arial" w:cs="Arial"/>
          <w:sz w:val="32"/>
          <w:szCs w:val="32"/>
        </w:rPr>
        <w:t>,</w:t>
      </w:r>
      <w:r w:rsidR="00707114">
        <w:rPr>
          <w:rFonts w:ascii="Arial" w:hAnsi="Arial" w:cs="Arial"/>
          <w:sz w:val="32"/>
          <w:szCs w:val="32"/>
        </w:rPr>
        <w:t xml:space="preserve"> </w:t>
      </w:r>
      <w:r w:rsidR="008C416B" w:rsidRPr="00807DF8">
        <w:rPr>
          <w:rFonts w:ascii="Arial" w:hAnsi="Arial" w:cs="Arial"/>
          <w:sz w:val="32"/>
          <w:szCs w:val="32"/>
        </w:rPr>
        <w:t xml:space="preserve">fls. 67 a 69), a atual situação de calamidade que parque semafórico apresenta não decorre propriamente da obsolescência dos equipamentos como aduzido pela Auditoria (que considerou para tanto o prazo de 5 anos), mas sim da  ausência de </w:t>
      </w:r>
      <w:r w:rsidR="008C416B" w:rsidRPr="00807DF8">
        <w:rPr>
          <w:rFonts w:ascii="Arial" w:hAnsi="Arial" w:cs="Arial"/>
          <w:sz w:val="32"/>
          <w:szCs w:val="32"/>
        </w:rPr>
        <w:lastRenderedPageBreak/>
        <w:t xml:space="preserve">adequada manutenção dos semáforos, conforme ressaltado pela </w:t>
      </w:r>
      <w:r w:rsidR="007A2940" w:rsidRPr="00807DF8">
        <w:rPr>
          <w:rFonts w:ascii="Arial" w:hAnsi="Arial" w:cs="Arial"/>
          <w:sz w:val="32"/>
          <w:szCs w:val="32"/>
        </w:rPr>
        <w:t xml:space="preserve">CET no documento em referência, </w:t>
      </w:r>
      <w:r w:rsidR="007A2940" w:rsidRPr="00807DF8">
        <w:rPr>
          <w:rFonts w:ascii="Arial" w:hAnsi="Arial" w:cs="Arial"/>
          <w:i/>
          <w:sz w:val="32"/>
          <w:szCs w:val="32"/>
        </w:rPr>
        <w:t>in verbis</w:t>
      </w:r>
      <w:r w:rsidR="008C416B" w:rsidRPr="00807DF8">
        <w:rPr>
          <w:rFonts w:ascii="Arial" w:hAnsi="Arial" w:cs="Arial"/>
          <w:sz w:val="32"/>
          <w:szCs w:val="32"/>
        </w:rPr>
        <w:t>:</w:t>
      </w:r>
    </w:p>
    <w:p w14:paraId="5AF5A38F" w14:textId="77777777" w:rsidR="007A2940" w:rsidRPr="00807DF8" w:rsidRDefault="008C416B" w:rsidP="007A2940">
      <w:pPr>
        <w:ind w:left="1134"/>
        <w:jc w:val="both"/>
        <w:rPr>
          <w:rFonts w:ascii="Arial" w:hAnsi="Arial" w:cs="Arial"/>
          <w:i/>
          <w:sz w:val="32"/>
          <w:szCs w:val="32"/>
        </w:rPr>
      </w:pPr>
      <w:r w:rsidRPr="00807DF8">
        <w:rPr>
          <w:rFonts w:ascii="Arial" w:hAnsi="Arial" w:cs="Arial"/>
          <w:i/>
          <w:sz w:val="32"/>
          <w:szCs w:val="32"/>
        </w:rPr>
        <w:t>Findo o referido contrato a partir de janeiro 2017, a ausência de manutenção adequada com um número de equipes insuficiente para atender um parque semafórico com as dimensões de São Paulo, fez aumentar de forma significativa o número de falhas semafóricas, que, sem o atendimento adequado, se reproduziram numa escala exponencial, e tornou-se um ponto vulnerável para a segurança e fluidez do trânsito da cidade, com inúmeras reclamações e extensa divulgação na mídia, tornando-se um círculo vicioso, que se retroalimentou continuadamente, principalmente em função do período de chuvas, que neste ano estendeu-se de maneira atípica até o início do inverno, agravando as ocorrências de falhas semafóricas</w:t>
      </w:r>
      <w:r w:rsidR="007A2940" w:rsidRPr="00807DF8">
        <w:rPr>
          <w:rFonts w:ascii="Arial" w:hAnsi="Arial" w:cs="Arial"/>
          <w:i/>
          <w:sz w:val="32"/>
          <w:szCs w:val="32"/>
        </w:rPr>
        <w:t>.</w:t>
      </w:r>
    </w:p>
    <w:p w14:paraId="1C907C3E" w14:textId="77777777" w:rsidR="007A2940" w:rsidRPr="00807DF8" w:rsidRDefault="007A2940" w:rsidP="007A2940">
      <w:pPr>
        <w:ind w:left="1134"/>
        <w:jc w:val="both"/>
        <w:rPr>
          <w:rFonts w:ascii="Arial" w:hAnsi="Arial" w:cs="Arial"/>
          <w:i/>
          <w:sz w:val="32"/>
          <w:szCs w:val="32"/>
        </w:rPr>
      </w:pPr>
      <w:r w:rsidRPr="00807DF8">
        <w:rPr>
          <w:rFonts w:ascii="Arial" w:hAnsi="Arial" w:cs="Arial"/>
          <w:i/>
          <w:sz w:val="32"/>
          <w:szCs w:val="32"/>
        </w:rPr>
        <w:t>(...)</w:t>
      </w:r>
    </w:p>
    <w:p w14:paraId="6DFB2173" w14:textId="77777777" w:rsidR="007A2940" w:rsidRPr="00807DF8" w:rsidRDefault="007A2940" w:rsidP="007A2940">
      <w:pPr>
        <w:ind w:left="1134"/>
        <w:jc w:val="both"/>
        <w:rPr>
          <w:rFonts w:ascii="Arial" w:hAnsi="Arial" w:cs="Arial"/>
          <w:i/>
          <w:sz w:val="32"/>
          <w:szCs w:val="32"/>
        </w:rPr>
      </w:pPr>
      <w:r w:rsidRPr="00807DF8">
        <w:rPr>
          <w:rFonts w:ascii="Arial" w:hAnsi="Arial" w:cs="Arial"/>
          <w:i/>
          <w:sz w:val="32"/>
          <w:szCs w:val="32"/>
        </w:rPr>
        <w:t>A infraestrutura de sistemas inteligentes de controle e monitoramento do trânsito de São Paulo está desatualizada em função da falta de investimentos tanto em serviços de manutenção como de atualização tecnológica.</w:t>
      </w:r>
    </w:p>
    <w:p w14:paraId="563F2B31" w14:textId="77777777" w:rsidR="008C416B" w:rsidRPr="00807DF8" w:rsidRDefault="008C416B" w:rsidP="007A2940">
      <w:pPr>
        <w:ind w:left="1134"/>
        <w:jc w:val="both"/>
        <w:rPr>
          <w:rFonts w:ascii="Arial" w:hAnsi="Arial" w:cs="Arial"/>
          <w:i/>
          <w:sz w:val="32"/>
          <w:szCs w:val="32"/>
        </w:rPr>
      </w:pPr>
      <w:r w:rsidRPr="00807DF8">
        <w:rPr>
          <w:rFonts w:ascii="Arial" w:hAnsi="Arial" w:cs="Arial"/>
          <w:i/>
          <w:sz w:val="32"/>
          <w:szCs w:val="32"/>
        </w:rPr>
        <w:t xml:space="preserve"> </w:t>
      </w:r>
    </w:p>
    <w:p w14:paraId="5068DEBA" w14:textId="77777777" w:rsidR="00152BBF" w:rsidRPr="00807DF8" w:rsidRDefault="00C42DC9" w:rsidP="00CD4905">
      <w:pPr>
        <w:ind w:firstLine="708"/>
        <w:jc w:val="both"/>
        <w:rPr>
          <w:rFonts w:ascii="Arial" w:hAnsi="Arial" w:cs="Arial"/>
          <w:sz w:val="32"/>
          <w:szCs w:val="32"/>
        </w:rPr>
      </w:pPr>
      <w:r w:rsidRPr="00807DF8">
        <w:rPr>
          <w:rFonts w:ascii="Arial" w:hAnsi="Arial" w:cs="Arial"/>
          <w:sz w:val="32"/>
          <w:szCs w:val="32"/>
        </w:rPr>
        <w:t xml:space="preserve">É importante ter claro que o que está sendo contratado é a modernização do parque semafórico e a correspondente manutenção </w:t>
      </w:r>
      <w:r w:rsidR="004D3AB0" w:rsidRPr="00807DF8">
        <w:rPr>
          <w:rFonts w:ascii="Arial" w:hAnsi="Arial" w:cs="Arial"/>
          <w:sz w:val="32"/>
          <w:szCs w:val="32"/>
        </w:rPr>
        <w:t xml:space="preserve">pelo tempo </w:t>
      </w:r>
      <w:r w:rsidR="007A2940" w:rsidRPr="00807DF8">
        <w:rPr>
          <w:rFonts w:ascii="Arial" w:hAnsi="Arial" w:cs="Arial"/>
          <w:sz w:val="32"/>
          <w:szCs w:val="32"/>
        </w:rPr>
        <w:t>restante</w:t>
      </w:r>
      <w:r w:rsidR="004D3AB0" w:rsidRPr="00807DF8">
        <w:rPr>
          <w:rFonts w:ascii="Arial" w:hAnsi="Arial" w:cs="Arial"/>
          <w:sz w:val="32"/>
          <w:szCs w:val="32"/>
        </w:rPr>
        <w:t xml:space="preserve"> do contrato da PPP, mantidas as condições de eficiência do </w:t>
      </w:r>
      <w:r w:rsidR="00E1482D" w:rsidRPr="00807DF8">
        <w:rPr>
          <w:rFonts w:ascii="Arial" w:hAnsi="Arial" w:cs="Arial"/>
          <w:sz w:val="32"/>
          <w:szCs w:val="32"/>
        </w:rPr>
        <w:t>sistema</w:t>
      </w:r>
      <w:r w:rsidR="007A2940" w:rsidRPr="00807DF8">
        <w:rPr>
          <w:rFonts w:ascii="Arial" w:hAnsi="Arial" w:cs="Arial"/>
          <w:sz w:val="32"/>
          <w:szCs w:val="32"/>
        </w:rPr>
        <w:t xml:space="preserve"> a partir da sua modernização</w:t>
      </w:r>
      <w:r w:rsidRPr="00807DF8">
        <w:rPr>
          <w:rFonts w:ascii="Arial" w:hAnsi="Arial" w:cs="Arial"/>
          <w:sz w:val="32"/>
          <w:szCs w:val="32"/>
        </w:rPr>
        <w:t>.</w:t>
      </w:r>
      <w:r w:rsidR="004D3AB0" w:rsidRPr="00807DF8">
        <w:rPr>
          <w:rFonts w:ascii="Arial" w:hAnsi="Arial" w:cs="Arial"/>
          <w:sz w:val="32"/>
          <w:szCs w:val="32"/>
        </w:rPr>
        <w:t xml:space="preserve"> </w:t>
      </w:r>
    </w:p>
    <w:p w14:paraId="62355CEF" w14:textId="2ECF3E15" w:rsidR="00F45D08" w:rsidRPr="00807DF8" w:rsidRDefault="00F45D08" w:rsidP="00CD4905">
      <w:pPr>
        <w:ind w:firstLine="708"/>
        <w:jc w:val="both"/>
        <w:rPr>
          <w:rFonts w:ascii="Arial" w:hAnsi="Arial" w:cs="Arial"/>
          <w:sz w:val="32"/>
          <w:szCs w:val="32"/>
        </w:rPr>
      </w:pPr>
      <w:r w:rsidRPr="00807DF8">
        <w:rPr>
          <w:rFonts w:ascii="Arial" w:hAnsi="Arial" w:cs="Arial"/>
          <w:sz w:val="32"/>
          <w:szCs w:val="32"/>
        </w:rPr>
        <w:t>Ademais, consta do Caderno de Encargos da Concessionária anex</w:t>
      </w:r>
      <w:r w:rsidR="00D22379">
        <w:rPr>
          <w:rFonts w:ascii="Arial" w:hAnsi="Arial" w:cs="Arial"/>
          <w:sz w:val="32"/>
          <w:szCs w:val="32"/>
        </w:rPr>
        <w:t>o</w:t>
      </w:r>
      <w:r w:rsidRPr="00807DF8">
        <w:rPr>
          <w:rFonts w:ascii="Arial" w:hAnsi="Arial" w:cs="Arial"/>
          <w:sz w:val="32"/>
          <w:szCs w:val="32"/>
        </w:rPr>
        <w:t xml:space="preserve"> à minuta do Termo Aditivo (</w:t>
      </w:r>
      <w:r w:rsidRPr="00D22379">
        <w:rPr>
          <w:rFonts w:ascii="Arial" w:hAnsi="Arial" w:cs="Arial"/>
          <w:sz w:val="32"/>
          <w:szCs w:val="32"/>
        </w:rPr>
        <w:t>doc.</w:t>
      </w:r>
      <w:r w:rsidR="00F36410" w:rsidRPr="00D22379">
        <w:rPr>
          <w:rFonts w:ascii="Arial" w:hAnsi="Arial" w:cs="Arial"/>
          <w:sz w:val="32"/>
          <w:szCs w:val="32"/>
        </w:rPr>
        <w:t xml:space="preserve"> 111</w:t>
      </w:r>
      <w:r w:rsidRPr="00D22379">
        <w:rPr>
          <w:rFonts w:ascii="Arial" w:hAnsi="Arial" w:cs="Arial"/>
          <w:sz w:val="32"/>
          <w:szCs w:val="32"/>
        </w:rPr>
        <w:t xml:space="preserve">, </w:t>
      </w:r>
      <w:r w:rsidRPr="00807DF8">
        <w:rPr>
          <w:rFonts w:ascii="Arial" w:hAnsi="Arial" w:cs="Arial"/>
          <w:sz w:val="32"/>
          <w:szCs w:val="32"/>
        </w:rPr>
        <w:t>fls. 101/265)</w:t>
      </w:r>
      <w:r w:rsidR="00D22379">
        <w:rPr>
          <w:rFonts w:ascii="Arial" w:hAnsi="Arial" w:cs="Arial"/>
          <w:sz w:val="32"/>
          <w:szCs w:val="32"/>
        </w:rPr>
        <w:t>,</w:t>
      </w:r>
      <w:r w:rsidRPr="00807DF8">
        <w:rPr>
          <w:rFonts w:ascii="Arial" w:hAnsi="Arial" w:cs="Arial"/>
          <w:sz w:val="32"/>
          <w:szCs w:val="32"/>
        </w:rPr>
        <w:t xml:space="preserve"> </w:t>
      </w:r>
      <w:r w:rsidR="00D22379">
        <w:rPr>
          <w:rFonts w:ascii="Arial" w:hAnsi="Arial" w:cs="Arial"/>
          <w:sz w:val="32"/>
          <w:szCs w:val="32"/>
        </w:rPr>
        <w:t>condição</w:t>
      </w:r>
      <w:r w:rsidRPr="00807DF8">
        <w:rPr>
          <w:rFonts w:ascii="Arial" w:hAnsi="Arial" w:cs="Arial"/>
          <w:sz w:val="32"/>
          <w:szCs w:val="32"/>
        </w:rPr>
        <w:t xml:space="preserve"> contratual expressa que determina </w:t>
      </w:r>
      <w:r w:rsidRPr="00807DF8">
        <w:rPr>
          <w:rFonts w:ascii="Arial" w:hAnsi="Arial" w:cs="Arial"/>
          <w:sz w:val="32"/>
          <w:szCs w:val="32"/>
        </w:rPr>
        <w:lastRenderedPageBreak/>
        <w:t>que a concessionária</w:t>
      </w:r>
      <w:r w:rsidR="00033A45">
        <w:rPr>
          <w:rFonts w:ascii="Arial" w:hAnsi="Arial" w:cs="Arial"/>
          <w:sz w:val="32"/>
          <w:szCs w:val="32"/>
        </w:rPr>
        <w:t>,</w:t>
      </w:r>
      <w:r w:rsidRPr="00807DF8">
        <w:rPr>
          <w:rFonts w:ascii="Arial" w:hAnsi="Arial" w:cs="Arial"/>
          <w:sz w:val="32"/>
          <w:szCs w:val="32"/>
        </w:rPr>
        <w:t xml:space="preserve"> ao longo da execução contratual</w:t>
      </w:r>
      <w:r w:rsidR="00033A45">
        <w:rPr>
          <w:rFonts w:ascii="Arial" w:hAnsi="Arial" w:cs="Arial"/>
          <w:sz w:val="32"/>
          <w:szCs w:val="32"/>
        </w:rPr>
        <w:t>,</w:t>
      </w:r>
      <w:r w:rsidRPr="00807DF8">
        <w:rPr>
          <w:rFonts w:ascii="Arial" w:hAnsi="Arial" w:cs="Arial"/>
          <w:sz w:val="32"/>
          <w:szCs w:val="32"/>
        </w:rPr>
        <w:t xml:space="preserve"> tem o dever de, dentre outras obrigações, </w:t>
      </w:r>
      <w:r w:rsidRPr="00807DF8">
        <w:rPr>
          <w:rFonts w:ascii="Arial" w:hAnsi="Arial" w:cs="Arial"/>
          <w:b/>
          <w:sz w:val="32"/>
          <w:szCs w:val="32"/>
          <w:u w:val="single"/>
        </w:rPr>
        <w:t>manter a atualidade dos equipamentos e serviços contratados</w:t>
      </w:r>
      <w:r w:rsidRPr="00807DF8">
        <w:rPr>
          <w:rFonts w:ascii="Arial" w:hAnsi="Arial" w:cs="Arial"/>
          <w:sz w:val="32"/>
          <w:szCs w:val="32"/>
        </w:rPr>
        <w:t xml:space="preserve">, </w:t>
      </w:r>
      <w:r w:rsidR="00E1482D" w:rsidRPr="00807DF8">
        <w:rPr>
          <w:rFonts w:ascii="Arial" w:hAnsi="Arial" w:cs="Arial"/>
          <w:sz w:val="32"/>
          <w:szCs w:val="32"/>
        </w:rPr>
        <w:t xml:space="preserve">assegurando à Municipalidade que exija do parceiro privado um contínuo processo de modernização, </w:t>
      </w:r>
      <w:r w:rsidRPr="00807DF8">
        <w:rPr>
          <w:rFonts w:ascii="Arial" w:hAnsi="Arial" w:cs="Arial"/>
          <w:sz w:val="32"/>
          <w:szCs w:val="32"/>
        </w:rPr>
        <w:t xml:space="preserve">conforme item 6.1.3 a seguir reproduzido: </w:t>
      </w:r>
    </w:p>
    <w:p w14:paraId="343B3516" w14:textId="77777777" w:rsidR="00F45D08" w:rsidRPr="00807DF8" w:rsidRDefault="00F45D08" w:rsidP="00F45D08">
      <w:pPr>
        <w:ind w:left="1701"/>
        <w:jc w:val="both"/>
        <w:rPr>
          <w:rFonts w:ascii="Arial" w:hAnsi="Arial" w:cs="Arial"/>
          <w:i/>
          <w:sz w:val="32"/>
          <w:szCs w:val="32"/>
        </w:rPr>
      </w:pPr>
      <w:r w:rsidRPr="00807DF8">
        <w:rPr>
          <w:rFonts w:ascii="Arial" w:hAnsi="Arial" w:cs="Arial"/>
          <w:i/>
          <w:sz w:val="32"/>
          <w:szCs w:val="32"/>
        </w:rPr>
        <w:t>6.1.3 A CONCESSIONÁRIA deverá observar que a atualidade compreende a modernidade das técnicas, do equipamento e das instalações e a sua conservação, bem como a melhoria e expansão do serviço, em decorrência de reinvestimentos</w:t>
      </w:r>
      <w:r w:rsidR="00152BBF" w:rsidRPr="00807DF8">
        <w:rPr>
          <w:rFonts w:ascii="Arial" w:hAnsi="Arial" w:cs="Arial"/>
          <w:i/>
          <w:sz w:val="32"/>
          <w:szCs w:val="32"/>
        </w:rPr>
        <w:t>.</w:t>
      </w:r>
    </w:p>
    <w:p w14:paraId="5E7054EC" w14:textId="2E9E5060" w:rsidR="00C42DC9" w:rsidRPr="00807DF8" w:rsidRDefault="00033A45" w:rsidP="00033A45">
      <w:pPr>
        <w:ind w:firstLine="708"/>
        <w:jc w:val="both"/>
        <w:rPr>
          <w:rFonts w:ascii="Arial" w:hAnsi="Arial" w:cs="Arial"/>
          <w:sz w:val="32"/>
          <w:szCs w:val="32"/>
        </w:rPr>
      </w:pPr>
      <w:r w:rsidRPr="000F31AD">
        <w:rPr>
          <w:rFonts w:ascii="Arial" w:hAnsi="Arial" w:cs="Arial"/>
          <w:sz w:val="32"/>
          <w:szCs w:val="32"/>
        </w:rPr>
        <w:t>C</w:t>
      </w:r>
      <w:r w:rsidR="00C42DC9" w:rsidRPr="000F31AD">
        <w:rPr>
          <w:rFonts w:ascii="Arial" w:hAnsi="Arial" w:cs="Arial"/>
          <w:sz w:val="32"/>
          <w:szCs w:val="32"/>
        </w:rPr>
        <w:t xml:space="preserve">onforme </w:t>
      </w:r>
      <w:r w:rsidR="00C42DC9" w:rsidRPr="00807DF8">
        <w:rPr>
          <w:rFonts w:ascii="Arial" w:hAnsi="Arial" w:cs="Arial"/>
          <w:sz w:val="32"/>
          <w:szCs w:val="32"/>
        </w:rPr>
        <w:t>exaustivamente já constato ao longo deste voto, é do interesse do parceiro privado a manutenção da eficiência do parque semafórico para aumentar sua lucratividade.</w:t>
      </w:r>
    </w:p>
    <w:p w14:paraId="1676C9F6" w14:textId="77777777" w:rsidR="00C42DC9" w:rsidRPr="00807DF8" w:rsidRDefault="00C42DC9" w:rsidP="00033A45">
      <w:pPr>
        <w:ind w:firstLine="708"/>
        <w:jc w:val="both"/>
        <w:rPr>
          <w:rFonts w:ascii="Arial" w:hAnsi="Arial" w:cs="Arial"/>
          <w:sz w:val="32"/>
          <w:szCs w:val="32"/>
        </w:rPr>
      </w:pPr>
      <w:r w:rsidRPr="00807DF8">
        <w:rPr>
          <w:rFonts w:ascii="Arial" w:hAnsi="Arial" w:cs="Arial"/>
          <w:sz w:val="32"/>
          <w:szCs w:val="32"/>
        </w:rPr>
        <w:t xml:space="preserve">Nesse sentido, </w:t>
      </w:r>
      <w:r w:rsidR="00F45D08" w:rsidRPr="00807DF8">
        <w:rPr>
          <w:rFonts w:ascii="Arial" w:hAnsi="Arial" w:cs="Arial"/>
          <w:sz w:val="32"/>
          <w:szCs w:val="32"/>
        </w:rPr>
        <w:t>entendo que as consta</w:t>
      </w:r>
      <w:r w:rsidR="00E1482D" w:rsidRPr="00807DF8">
        <w:rPr>
          <w:rFonts w:ascii="Arial" w:hAnsi="Arial" w:cs="Arial"/>
          <w:sz w:val="32"/>
          <w:szCs w:val="32"/>
        </w:rPr>
        <w:t>ta</w:t>
      </w:r>
      <w:r w:rsidR="00F45D08" w:rsidRPr="00807DF8">
        <w:rPr>
          <w:rFonts w:ascii="Arial" w:hAnsi="Arial" w:cs="Arial"/>
          <w:sz w:val="32"/>
          <w:szCs w:val="32"/>
        </w:rPr>
        <w:t xml:space="preserve">ções da Auditoria, nesse ponto, não se mostraram suficientes para afastar as conclusões da Administração quanto à economicidade </w:t>
      </w:r>
      <w:r w:rsidR="00E1482D" w:rsidRPr="00807DF8">
        <w:rPr>
          <w:rFonts w:ascii="Arial" w:hAnsi="Arial" w:cs="Arial"/>
          <w:sz w:val="32"/>
          <w:szCs w:val="32"/>
        </w:rPr>
        <w:t>da inclusão dos serviços de modernização e manutenção semafórica à PPP da Iluminação Pública.</w:t>
      </w:r>
    </w:p>
    <w:p w14:paraId="662EAF3E" w14:textId="14674008" w:rsidR="00E1482D" w:rsidRPr="00807DF8" w:rsidRDefault="00FC75EF" w:rsidP="005A4C9F">
      <w:pPr>
        <w:ind w:firstLine="708"/>
        <w:jc w:val="both"/>
        <w:rPr>
          <w:rFonts w:ascii="Arial" w:hAnsi="Arial" w:cs="Arial"/>
          <w:sz w:val="32"/>
          <w:szCs w:val="32"/>
        </w:rPr>
      </w:pPr>
      <w:r w:rsidRPr="00807DF8">
        <w:rPr>
          <w:rFonts w:ascii="Arial" w:hAnsi="Arial" w:cs="Arial"/>
          <w:sz w:val="32"/>
          <w:szCs w:val="32"/>
        </w:rPr>
        <w:t>No que diz respeito ao item 5.2, têm-se que ao se comparar o “Value for Money - VfM” da incorporação da rede semafórica na PPP da Iluminação com a realização de uma PPP autônoma, esse valor atinge apenas 1,7%</w:t>
      </w:r>
      <w:r w:rsidR="00152BBF" w:rsidRPr="00807DF8">
        <w:rPr>
          <w:rFonts w:ascii="Arial" w:hAnsi="Arial" w:cs="Arial"/>
          <w:sz w:val="32"/>
          <w:szCs w:val="32"/>
        </w:rPr>
        <w:t xml:space="preserve"> -</w:t>
      </w:r>
      <w:r w:rsidRPr="00807DF8">
        <w:rPr>
          <w:rFonts w:ascii="Arial" w:hAnsi="Arial" w:cs="Arial"/>
          <w:sz w:val="32"/>
          <w:szCs w:val="32"/>
        </w:rPr>
        <w:t xml:space="preserve"> R$ 1,94 bi</w:t>
      </w:r>
      <w:r w:rsidR="005A4C9F">
        <w:rPr>
          <w:rFonts w:ascii="Arial" w:hAnsi="Arial" w:cs="Arial"/>
          <w:sz w:val="32"/>
          <w:szCs w:val="32"/>
        </w:rPr>
        <w:t>lhão</w:t>
      </w:r>
      <w:r w:rsidRPr="00807DF8">
        <w:rPr>
          <w:rFonts w:ascii="Arial" w:hAnsi="Arial" w:cs="Arial"/>
          <w:sz w:val="32"/>
          <w:szCs w:val="32"/>
        </w:rPr>
        <w:t xml:space="preserve"> referente a incorporação frente a R$ 1,97 bi</w:t>
      </w:r>
      <w:r w:rsidR="005A4C9F">
        <w:rPr>
          <w:rFonts w:ascii="Arial" w:hAnsi="Arial" w:cs="Arial"/>
          <w:sz w:val="32"/>
          <w:szCs w:val="32"/>
        </w:rPr>
        <w:t>lhão</w:t>
      </w:r>
      <w:r w:rsidRPr="00807DF8">
        <w:rPr>
          <w:rFonts w:ascii="Arial" w:hAnsi="Arial" w:cs="Arial"/>
          <w:sz w:val="32"/>
          <w:szCs w:val="32"/>
        </w:rPr>
        <w:t xml:space="preserve"> frente a uma PPP autônoma. </w:t>
      </w:r>
    </w:p>
    <w:p w14:paraId="2805C54D" w14:textId="77777777" w:rsidR="00564DD5" w:rsidRPr="00807DF8" w:rsidRDefault="00564DD5" w:rsidP="005A4C9F">
      <w:pPr>
        <w:ind w:firstLine="708"/>
        <w:jc w:val="both"/>
        <w:rPr>
          <w:rFonts w:ascii="Arial" w:hAnsi="Arial" w:cs="Arial"/>
          <w:sz w:val="32"/>
          <w:szCs w:val="32"/>
        </w:rPr>
      </w:pPr>
      <w:r w:rsidRPr="00807DF8">
        <w:rPr>
          <w:rFonts w:ascii="Arial" w:hAnsi="Arial" w:cs="Arial"/>
          <w:sz w:val="32"/>
          <w:szCs w:val="32"/>
        </w:rPr>
        <w:t>Ainda que do ponto de vista econômico o percentual relativo à vantajosidade do modelo escolhido pela administração em relação à realização de uma PPP específica não se mostre significativo, outros elementos também devem ser considerados.</w:t>
      </w:r>
    </w:p>
    <w:p w14:paraId="006EE468" w14:textId="77777777" w:rsidR="00564DD5" w:rsidRPr="00807DF8" w:rsidRDefault="00564DD5" w:rsidP="00B1295F">
      <w:pPr>
        <w:ind w:firstLine="708"/>
        <w:jc w:val="both"/>
        <w:rPr>
          <w:rFonts w:ascii="Arial" w:hAnsi="Arial" w:cs="Arial"/>
          <w:sz w:val="32"/>
          <w:szCs w:val="32"/>
        </w:rPr>
      </w:pPr>
      <w:r w:rsidRPr="00807DF8">
        <w:rPr>
          <w:rFonts w:ascii="Arial" w:hAnsi="Arial" w:cs="Arial"/>
          <w:sz w:val="32"/>
          <w:szCs w:val="32"/>
        </w:rPr>
        <w:lastRenderedPageBreak/>
        <w:t>O primeiro deles é o potencial de ganho de celeridade  à modernização</w:t>
      </w:r>
      <w:r w:rsidR="008C6474" w:rsidRPr="00807DF8">
        <w:rPr>
          <w:rFonts w:ascii="Arial" w:hAnsi="Arial" w:cs="Arial"/>
          <w:sz w:val="32"/>
          <w:szCs w:val="32"/>
        </w:rPr>
        <w:t xml:space="preserve"> do parque semafórico que a escolha da </w:t>
      </w:r>
      <w:r w:rsidR="00152BBF" w:rsidRPr="00807DF8">
        <w:rPr>
          <w:rFonts w:ascii="Arial" w:hAnsi="Arial" w:cs="Arial"/>
          <w:sz w:val="32"/>
          <w:szCs w:val="32"/>
        </w:rPr>
        <w:t>A</w:t>
      </w:r>
      <w:r w:rsidR="008C6474" w:rsidRPr="00807DF8">
        <w:rPr>
          <w:rFonts w:ascii="Arial" w:hAnsi="Arial" w:cs="Arial"/>
          <w:sz w:val="32"/>
          <w:szCs w:val="32"/>
        </w:rPr>
        <w:t>dministração carrega em si</w:t>
      </w:r>
      <w:r w:rsidRPr="00807DF8">
        <w:rPr>
          <w:rFonts w:ascii="Arial" w:hAnsi="Arial" w:cs="Arial"/>
          <w:sz w:val="32"/>
          <w:szCs w:val="32"/>
        </w:rPr>
        <w:t>,</w:t>
      </w:r>
      <w:r w:rsidR="00DB733A" w:rsidRPr="00807DF8">
        <w:rPr>
          <w:rFonts w:ascii="Arial" w:hAnsi="Arial" w:cs="Arial"/>
          <w:sz w:val="32"/>
          <w:szCs w:val="32"/>
        </w:rPr>
        <w:t xml:space="preserve"> que poderá traduzir-se, inclusive, em ganhos econômicos indiretos ao município, a</w:t>
      </w:r>
      <w:r w:rsidR="008C6474" w:rsidRPr="00807DF8">
        <w:rPr>
          <w:rFonts w:ascii="Arial" w:hAnsi="Arial" w:cs="Arial"/>
          <w:sz w:val="32"/>
          <w:szCs w:val="32"/>
        </w:rPr>
        <w:t>o evitar o longo trâmite que um procedimento licitatório espec</w:t>
      </w:r>
      <w:r w:rsidR="00DB733A" w:rsidRPr="00807DF8">
        <w:rPr>
          <w:rFonts w:ascii="Arial" w:hAnsi="Arial" w:cs="Arial"/>
          <w:sz w:val="32"/>
          <w:szCs w:val="32"/>
        </w:rPr>
        <w:t xml:space="preserve">ífico poderia levar, ocasionando, inclusive, a necessidade de prorrogação dos atuais contratos de manutenção, o que </w:t>
      </w:r>
      <w:r w:rsidR="00152BBF" w:rsidRPr="00807DF8">
        <w:rPr>
          <w:rFonts w:ascii="Arial" w:hAnsi="Arial" w:cs="Arial"/>
          <w:sz w:val="32"/>
          <w:szCs w:val="32"/>
        </w:rPr>
        <w:t>implicaria</w:t>
      </w:r>
      <w:r w:rsidR="00DB733A" w:rsidRPr="00807DF8">
        <w:rPr>
          <w:rFonts w:ascii="Arial" w:hAnsi="Arial" w:cs="Arial"/>
          <w:sz w:val="32"/>
          <w:szCs w:val="32"/>
        </w:rPr>
        <w:t xml:space="preserve"> </w:t>
      </w:r>
      <w:r w:rsidR="00152BBF" w:rsidRPr="00807DF8">
        <w:rPr>
          <w:rFonts w:ascii="Arial" w:hAnsi="Arial" w:cs="Arial"/>
          <w:sz w:val="32"/>
          <w:szCs w:val="32"/>
        </w:rPr>
        <w:t>n</w:t>
      </w:r>
      <w:r w:rsidR="00DB733A" w:rsidRPr="00807DF8">
        <w:rPr>
          <w:rFonts w:ascii="Arial" w:hAnsi="Arial" w:cs="Arial"/>
          <w:sz w:val="32"/>
          <w:szCs w:val="32"/>
        </w:rPr>
        <w:t xml:space="preserve">a extensão de um modelo de contratação que tem </w:t>
      </w:r>
      <w:r w:rsidR="00152BBF" w:rsidRPr="00807DF8">
        <w:rPr>
          <w:rFonts w:ascii="Arial" w:hAnsi="Arial" w:cs="Arial"/>
          <w:sz w:val="32"/>
          <w:szCs w:val="32"/>
        </w:rPr>
        <w:t>provocado</w:t>
      </w:r>
      <w:r w:rsidR="00DB733A" w:rsidRPr="00807DF8">
        <w:rPr>
          <w:rFonts w:ascii="Arial" w:hAnsi="Arial" w:cs="Arial"/>
          <w:sz w:val="32"/>
          <w:szCs w:val="32"/>
        </w:rPr>
        <w:t xml:space="preserve"> incontáveis prejuízos à cidade, inclusive do ponto de vista econômico.</w:t>
      </w:r>
    </w:p>
    <w:p w14:paraId="393D1D8F" w14:textId="77777777" w:rsidR="00F15F87" w:rsidRPr="00807DF8" w:rsidRDefault="00DB733A" w:rsidP="00B1295F">
      <w:pPr>
        <w:ind w:firstLine="708"/>
        <w:jc w:val="both"/>
        <w:rPr>
          <w:rFonts w:ascii="Arial" w:hAnsi="Arial" w:cs="Arial"/>
          <w:sz w:val="32"/>
          <w:szCs w:val="32"/>
        </w:rPr>
      </w:pPr>
      <w:r w:rsidRPr="00807DF8">
        <w:rPr>
          <w:rFonts w:ascii="Arial" w:hAnsi="Arial" w:cs="Arial"/>
          <w:sz w:val="32"/>
          <w:szCs w:val="32"/>
        </w:rPr>
        <w:t>Outro aspecto, c</w:t>
      </w:r>
      <w:r w:rsidR="00F15F87" w:rsidRPr="00807DF8">
        <w:rPr>
          <w:rFonts w:ascii="Arial" w:hAnsi="Arial" w:cs="Arial"/>
          <w:sz w:val="32"/>
          <w:szCs w:val="32"/>
        </w:rPr>
        <w:t>onforme já tratado anteriormente</w:t>
      </w:r>
      <w:r w:rsidR="00564DD5" w:rsidRPr="00807DF8">
        <w:rPr>
          <w:rFonts w:ascii="Arial" w:hAnsi="Arial" w:cs="Arial"/>
          <w:sz w:val="32"/>
          <w:szCs w:val="32"/>
        </w:rPr>
        <w:t xml:space="preserve"> neste voto,</w:t>
      </w:r>
      <w:r w:rsidRPr="00807DF8">
        <w:rPr>
          <w:rFonts w:ascii="Arial" w:hAnsi="Arial" w:cs="Arial"/>
          <w:sz w:val="32"/>
          <w:szCs w:val="32"/>
        </w:rPr>
        <w:t xml:space="preserve"> é a análise jurídic</w:t>
      </w:r>
      <w:r w:rsidR="004A44C4" w:rsidRPr="00807DF8">
        <w:rPr>
          <w:rFonts w:ascii="Arial" w:hAnsi="Arial" w:cs="Arial"/>
          <w:sz w:val="32"/>
          <w:szCs w:val="32"/>
        </w:rPr>
        <w:t>a</w:t>
      </w:r>
      <w:r w:rsidRPr="00807DF8">
        <w:rPr>
          <w:rFonts w:ascii="Arial" w:hAnsi="Arial" w:cs="Arial"/>
          <w:sz w:val="32"/>
          <w:szCs w:val="32"/>
        </w:rPr>
        <w:t xml:space="preserve"> quanto ao embasamento legal da escolha da Administração, fundamentada Lei 17.731/22, que admite a extensão contratual nos contratos de parcerias, obedecidas as condicionantes que, até aqui, se mostraram perfeitamente presentes.  </w:t>
      </w:r>
    </w:p>
    <w:p w14:paraId="78A3BE21" w14:textId="3CC8CC43" w:rsidR="00084FA8" w:rsidRPr="00807DF8" w:rsidRDefault="00084FA8" w:rsidP="00BA39A1">
      <w:pPr>
        <w:ind w:firstLine="708"/>
        <w:jc w:val="both"/>
        <w:rPr>
          <w:rFonts w:ascii="Arial" w:hAnsi="Arial" w:cs="Arial"/>
          <w:sz w:val="32"/>
          <w:szCs w:val="32"/>
        </w:rPr>
      </w:pPr>
      <w:r w:rsidRPr="00807DF8">
        <w:rPr>
          <w:rFonts w:ascii="Arial" w:hAnsi="Arial" w:cs="Arial"/>
          <w:sz w:val="32"/>
          <w:szCs w:val="32"/>
        </w:rPr>
        <w:t xml:space="preserve">Cabe ressaltar, conforme já apontado anteriormente neste voto, </w:t>
      </w:r>
      <w:r w:rsidR="00353BC0" w:rsidRPr="00807DF8">
        <w:rPr>
          <w:rFonts w:ascii="Arial" w:hAnsi="Arial" w:cs="Arial"/>
          <w:sz w:val="32"/>
          <w:szCs w:val="32"/>
        </w:rPr>
        <w:t xml:space="preserve">que </w:t>
      </w:r>
      <w:r w:rsidRPr="00807DF8">
        <w:rPr>
          <w:rFonts w:ascii="Arial" w:hAnsi="Arial" w:cs="Arial"/>
          <w:sz w:val="32"/>
          <w:szCs w:val="32"/>
        </w:rPr>
        <w:t>é possível se constatar que o Aditivo contratual se dá em um contrato cujo critério de contratação foi definido observando-se as regras da PPP em curso, resultante de um procedimento licitatório. Tanto é assim, que à contratada não cabe negociar preço</w:t>
      </w:r>
      <w:r w:rsidR="00BA39A1">
        <w:rPr>
          <w:rFonts w:ascii="Arial" w:hAnsi="Arial" w:cs="Arial"/>
          <w:sz w:val="32"/>
          <w:szCs w:val="32"/>
        </w:rPr>
        <w:t>,</w:t>
      </w:r>
      <w:r w:rsidRPr="00807DF8">
        <w:rPr>
          <w:rFonts w:ascii="Arial" w:hAnsi="Arial" w:cs="Arial"/>
          <w:sz w:val="32"/>
          <w:szCs w:val="32"/>
        </w:rPr>
        <w:t xml:space="preserve"> mas apenas aceitar a imposição de ampliação do objeto pelos poderes exorbitantes da Administração Pública. Des</w:t>
      </w:r>
      <w:r w:rsidR="00BA39A1">
        <w:rPr>
          <w:rFonts w:ascii="Arial" w:hAnsi="Arial" w:cs="Arial"/>
          <w:sz w:val="32"/>
          <w:szCs w:val="32"/>
        </w:rPr>
        <w:t>s</w:t>
      </w:r>
      <w:r w:rsidRPr="00807DF8">
        <w:rPr>
          <w:rFonts w:ascii="Arial" w:hAnsi="Arial" w:cs="Arial"/>
          <w:sz w:val="32"/>
          <w:szCs w:val="32"/>
        </w:rPr>
        <w:t xml:space="preserve">a forma, nas justificativas da </w:t>
      </w:r>
      <w:r w:rsidR="00BA39A1">
        <w:rPr>
          <w:rFonts w:ascii="Arial" w:hAnsi="Arial" w:cs="Arial"/>
          <w:sz w:val="32"/>
          <w:szCs w:val="32"/>
        </w:rPr>
        <w:t>A</w:t>
      </w:r>
      <w:r w:rsidRPr="00807DF8">
        <w:rPr>
          <w:rFonts w:ascii="Arial" w:hAnsi="Arial" w:cs="Arial"/>
          <w:sz w:val="32"/>
          <w:szCs w:val="32"/>
        </w:rPr>
        <w:t>dministração se infere a possibilidade de que o valor pago pelo Município será o valor atingido no mercado licitatório.</w:t>
      </w:r>
    </w:p>
    <w:p w14:paraId="3CC1F2B9" w14:textId="6B1D39F6" w:rsidR="00DB733A" w:rsidRPr="00807DF8" w:rsidRDefault="00DB733A" w:rsidP="00BA39A1">
      <w:pPr>
        <w:ind w:firstLine="708"/>
        <w:jc w:val="both"/>
        <w:rPr>
          <w:rFonts w:ascii="Arial" w:hAnsi="Arial" w:cs="Arial"/>
          <w:sz w:val="32"/>
          <w:szCs w:val="32"/>
        </w:rPr>
      </w:pPr>
      <w:r w:rsidRPr="00807DF8">
        <w:rPr>
          <w:rFonts w:ascii="Arial" w:hAnsi="Arial" w:cs="Arial"/>
          <w:sz w:val="32"/>
          <w:szCs w:val="32"/>
        </w:rPr>
        <w:t>Assim, a constataç</w:t>
      </w:r>
      <w:r w:rsidR="004A44C4" w:rsidRPr="00807DF8">
        <w:rPr>
          <w:rFonts w:ascii="Arial" w:hAnsi="Arial" w:cs="Arial"/>
          <w:sz w:val="32"/>
          <w:szCs w:val="32"/>
        </w:rPr>
        <w:t>ão da Audito</w:t>
      </w:r>
      <w:r w:rsidRPr="00807DF8">
        <w:rPr>
          <w:rFonts w:ascii="Arial" w:hAnsi="Arial" w:cs="Arial"/>
          <w:sz w:val="32"/>
          <w:szCs w:val="32"/>
        </w:rPr>
        <w:t>r</w:t>
      </w:r>
      <w:r w:rsidR="004A44C4" w:rsidRPr="00807DF8">
        <w:rPr>
          <w:rFonts w:ascii="Arial" w:hAnsi="Arial" w:cs="Arial"/>
          <w:sz w:val="32"/>
          <w:szCs w:val="32"/>
        </w:rPr>
        <w:t>i</w:t>
      </w:r>
      <w:r w:rsidRPr="00807DF8">
        <w:rPr>
          <w:rFonts w:ascii="Arial" w:hAnsi="Arial" w:cs="Arial"/>
          <w:sz w:val="32"/>
          <w:szCs w:val="32"/>
        </w:rPr>
        <w:t>a quanto à vantajosidade</w:t>
      </w:r>
      <w:r w:rsidR="00435C15">
        <w:rPr>
          <w:rFonts w:ascii="Arial" w:hAnsi="Arial" w:cs="Arial"/>
          <w:sz w:val="32"/>
          <w:szCs w:val="32"/>
        </w:rPr>
        <w:t xml:space="preserve"> </w:t>
      </w:r>
      <w:r w:rsidRPr="00807DF8">
        <w:rPr>
          <w:rFonts w:ascii="Arial" w:hAnsi="Arial" w:cs="Arial"/>
          <w:sz w:val="32"/>
          <w:szCs w:val="32"/>
        </w:rPr>
        <w:t>econon</w:t>
      </w:r>
      <w:r w:rsidR="004A44C4" w:rsidRPr="00807DF8">
        <w:rPr>
          <w:rFonts w:ascii="Arial" w:hAnsi="Arial" w:cs="Arial"/>
          <w:sz w:val="32"/>
          <w:szCs w:val="32"/>
        </w:rPr>
        <w:t>ômica da ordem de</w:t>
      </w:r>
      <w:r w:rsidRPr="00807DF8">
        <w:rPr>
          <w:rFonts w:ascii="Arial" w:hAnsi="Arial" w:cs="Arial"/>
          <w:sz w:val="32"/>
          <w:szCs w:val="32"/>
        </w:rPr>
        <w:t xml:space="preserve"> 1,7% </w:t>
      </w:r>
      <w:r w:rsidR="004A44C4" w:rsidRPr="00807DF8">
        <w:rPr>
          <w:rFonts w:ascii="Arial" w:hAnsi="Arial" w:cs="Arial"/>
          <w:sz w:val="32"/>
          <w:szCs w:val="32"/>
        </w:rPr>
        <w:t>entre a</w:t>
      </w:r>
      <w:r w:rsidRPr="00807DF8">
        <w:rPr>
          <w:rFonts w:ascii="Arial" w:hAnsi="Arial" w:cs="Arial"/>
          <w:sz w:val="32"/>
          <w:szCs w:val="32"/>
        </w:rPr>
        <w:t xml:space="preserve"> escolha da </w:t>
      </w:r>
      <w:r w:rsidR="00435C15">
        <w:rPr>
          <w:rFonts w:ascii="Arial" w:hAnsi="Arial" w:cs="Arial"/>
          <w:sz w:val="32"/>
          <w:szCs w:val="32"/>
        </w:rPr>
        <w:t>A</w:t>
      </w:r>
      <w:r w:rsidRPr="00807DF8">
        <w:rPr>
          <w:rFonts w:ascii="Arial" w:hAnsi="Arial" w:cs="Arial"/>
          <w:sz w:val="32"/>
          <w:szCs w:val="32"/>
        </w:rPr>
        <w:t xml:space="preserve">dministração </w:t>
      </w:r>
      <w:r w:rsidR="004A44C4" w:rsidRPr="00807DF8">
        <w:rPr>
          <w:rFonts w:ascii="Arial" w:hAnsi="Arial" w:cs="Arial"/>
          <w:sz w:val="32"/>
          <w:szCs w:val="32"/>
        </w:rPr>
        <w:t>e</w:t>
      </w:r>
      <w:r w:rsidRPr="00807DF8">
        <w:rPr>
          <w:rFonts w:ascii="Arial" w:hAnsi="Arial" w:cs="Arial"/>
          <w:sz w:val="32"/>
          <w:szCs w:val="32"/>
        </w:rPr>
        <w:t xml:space="preserve"> </w:t>
      </w:r>
      <w:r w:rsidR="004A44C4" w:rsidRPr="00807DF8">
        <w:rPr>
          <w:rFonts w:ascii="Arial" w:hAnsi="Arial" w:cs="Arial"/>
          <w:sz w:val="32"/>
          <w:szCs w:val="32"/>
        </w:rPr>
        <w:t xml:space="preserve">a </w:t>
      </w:r>
      <w:r w:rsidRPr="00807DF8">
        <w:rPr>
          <w:rFonts w:ascii="Arial" w:hAnsi="Arial" w:cs="Arial"/>
          <w:sz w:val="32"/>
          <w:szCs w:val="32"/>
        </w:rPr>
        <w:t>realização de uma PPP espec</w:t>
      </w:r>
      <w:r w:rsidR="004A44C4" w:rsidRPr="00807DF8">
        <w:rPr>
          <w:rFonts w:ascii="Arial" w:hAnsi="Arial" w:cs="Arial"/>
          <w:sz w:val="32"/>
          <w:szCs w:val="32"/>
        </w:rPr>
        <w:t xml:space="preserve">ífica, considerados os aspectos anteriormente destacados, me levam a afastar as conclusões da Auditoria quanto à ausência de justificativa econômica, no ponto aqui </w:t>
      </w:r>
      <w:r w:rsidR="004A44C4" w:rsidRPr="00807DF8">
        <w:rPr>
          <w:rFonts w:ascii="Arial" w:hAnsi="Arial" w:cs="Arial"/>
          <w:sz w:val="32"/>
          <w:szCs w:val="32"/>
        </w:rPr>
        <w:lastRenderedPageBreak/>
        <w:t xml:space="preserve">tratado, restando demonstrada a vantajosidade da opção da </w:t>
      </w:r>
      <w:r w:rsidR="00435C15">
        <w:rPr>
          <w:rFonts w:ascii="Arial" w:hAnsi="Arial" w:cs="Arial"/>
          <w:sz w:val="32"/>
          <w:szCs w:val="32"/>
        </w:rPr>
        <w:t>A</w:t>
      </w:r>
      <w:r w:rsidR="004A44C4" w:rsidRPr="00807DF8">
        <w:rPr>
          <w:rFonts w:ascii="Arial" w:hAnsi="Arial" w:cs="Arial"/>
          <w:sz w:val="32"/>
          <w:szCs w:val="32"/>
        </w:rPr>
        <w:t>dministração.</w:t>
      </w:r>
    </w:p>
    <w:p w14:paraId="77896B0F" w14:textId="2AAB4D36" w:rsidR="00E1482D" w:rsidRPr="00807DF8" w:rsidRDefault="00FC75EF" w:rsidP="002D6A19">
      <w:pPr>
        <w:ind w:firstLine="708"/>
        <w:jc w:val="both"/>
        <w:rPr>
          <w:rFonts w:ascii="Arial" w:hAnsi="Arial" w:cs="Arial"/>
          <w:sz w:val="32"/>
          <w:szCs w:val="32"/>
        </w:rPr>
      </w:pPr>
      <w:r w:rsidRPr="00807DF8">
        <w:rPr>
          <w:rFonts w:ascii="Arial" w:hAnsi="Arial" w:cs="Arial"/>
          <w:sz w:val="32"/>
          <w:szCs w:val="32"/>
        </w:rPr>
        <w:t xml:space="preserve">Já no item 5.3, é aduzido pelo relatório de </w:t>
      </w:r>
      <w:r w:rsidR="002D6A19">
        <w:rPr>
          <w:rFonts w:ascii="Arial" w:hAnsi="Arial" w:cs="Arial"/>
          <w:sz w:val="32"/>
          <w:szCs w:val="32"/>
        </w:rPr>
        <w:t>A</w:t>
      </w:r>
      <w:r w:rsidRPr="00807DF8">
        <w:rPr>
          <w:rFonts w:ascii="Arial" w:hAnsi="Arial" w:cs="Arial"/>
          <w:sz w:val="32"/>
          <w:szCs w:val="32"/>
        </w:rPr>
        <w:t>uditoria que</w:t>
      </w:r>
      <w:r w:rsidR="00E55979" w:rsidRPr="00807DF8">
        <w:rPr>
          <w:rFonts w:ascii="Arial" w:hAnsi="Arial" w:cs="Arial"/>
          <w:sz w:val="32"/>
          <w:szCs w:val="32"/>
        </w:rPr>
        <w:t xml:space="preserve"> </w:t>
      </w:r>
      <w:r w:rsidR="00353BC0" w:rsidRPr="00807DF8">
        <w:rPr>
          <w:rFonts w:ascii="Arial" w:hAnsi="Arial" w:cs="Arial"/>
          <w:sz w:val="32"/>
          <w:szCs w:val="32"/>
        </w:rPr>
        <w:t xml:space="preserve">o estudo </w:t>
      </w:r>
      <w:r w:rsidR="00E55979" w:rsidRPr="00807DF8">
        <w:rPr>
          <w:rFonts w:ascii="Arial" w:hAnsi="Arial" w:cs="Arial"/>
          <w:sz w:val="32"/>
          <w:szCs w:val="32"/>
        </w:rPr>
        <w:t>encomendado ao Prof. Gesner de Oliveira</w:t>
      </w:r>
      <w:r w:rsidRPr="00807DF8">
        <w:rPr>
          <w:rFonts w:ascii="Arial" w:hAnsi="Arial" w:cs="Arial"/>
          <w:sz w:val="32"/>
          <w:szCs w:val="32"/>
        </w:rPr>
        <w:t xml:space="preserve"> apresenta os resultados obtidos na data base de jan/2016, partindo do pressuposto que esta é data base do Contrato nº 003/SMSO/2018. Contudo, a data-base do referido contrato é fev/2016. </w:t>
      </w:r>
    </w:p>
    <w:p w14:paraId="6DDD2611" w14:textId="0B267EB0" w:rsidR="00FC75EF" w:rsidRPr="00807DF8" w:rsidRDefault="00E1482D" w:rsidP="00EC729F">
      <w:pPr>
        <w:ind w:firstLine="708"/>
        <w:jc w:val="both"/>
        <w:rPr>
          <w:rFonts w:ascii="Arial" w:hAnsi="Arial" w:cs="Arial"/>
          <w:sz w:val="32"/>
          <w:szCs w:val="32"/>
        </w:rPr>
      </w:pPr>
      <w:r w:rsidRPr="00807DF8">
        <w:rPr>
          <w:rFonts w:ascii="Arial" w:hAnsi="Arial" w:cs="Arial"/>
          <w:sz w:val="32"/>
          <w:szCs w:val="32"/>
        </w:rPr>
        <w:t xml:space="preserve">Quanto a essa questão, entendo que a divergência de apenas 1 mês em relação à data base considerada não se mostra suficiente para afastar a conclusão dos estudos econômicos </w:t>
      </w:r>
      <w:r w:rsidR="00EC729F" w:rsidRPr="00B65A64">
        <w:rPr>
          <w:rFonts w:ascii="Arial" w:hAnsi="Arial" w:cs="Arial"/>
          <w:sz w:val="32"/>
          <w:szCs w:val="32"/>
        </w:rPr>
        <w:t xml:space="preserve">no tocante </w:t>
      </w:r>
      <w:r w:rsidRPr="00807DF8">
        <w:rPr>
          <w:rFonts w:ascii="Arial" w:hAnsi="Arial" w:cs="Arial"/>
          <w:sz w:val="32"/>
          <w:szCs w:val="32"/>
        </w:rPr>
        <w:t xml:space="preserve">à vantajosidade do modelo de contratação pretendido pela Administração. </w:t>
      </w:r>
    </w:p>
    <w:p w14:paraId="580A51AF" w14:textId="77777777" w:rsidR="00FC75EF" w:rsidRPr="00807DF8" w:rsidRDefault="00FC75EF" w:rsidP="00034328">
      <w:pPr>
        <w:ind w:firstLine="708"/>
        <w:jc w:val="both"/>
        <w:rPr>
          <w:rFonts w:ascii="Arial" w:hAnsi="Arial" w:cs="Arial"/>
          <w:sz w:val="32"/>
          <w:szCs w:val="32"/>
        </w:rPr>
      </w:pPr>
      <w:r w:rsidRPr="00807DF8">
        <w:rPr>
          <w:rFonts w:ascii="Arial" w:hAnsi="Arial" w:cs="Arial"/>
          <w:sz w:val="32"/>
          <w:szCs w:val="32"/>
        </w:rPr>
        <w:t xml:space="preserve">Quanto ao item 5.4, para o estudo econômico-financeiro do serviço semafórico, a GO Associados utilizou a mesma TIR de 9,53% a.a. adotada no estudo de reequilíbrio econômico-financeiro do contrato realizado pela FIA. </w:t>
      </w:r>
      <w:r w:rsidR="00F87B3D" w:rsidRPr="00807DF8">
        <w:rPr>
          <w:rFonts w:ascii="Arial" w:hAnsi="Arial" w:cs="Arial"/>
          <w:sz w:val="32"/>
          <w:szCs w:val="32"/>
        </w:rPr>
        <w:t xml:space="preserve">Segundo a </w:t>
      </w:r>
      <w:r w:rsidR="00E55979" w:rsidRPr="00807DF8">
        <w:rPr>
          <w:rFonts w:ascii="Arial" w:hAnsi="Arial" w:cs="Arial"/>
          <w:sz w:val="32"/>
          <w:szCs w:val="32"/>
        </w:rPr>
        <w:t>A</w:t>
      </w:r>
      <w:r w:rsidR="00F87B3D" w:rsidRPr="00807DF8">
        <w:rPr>
          <w:rFonts w:ascii="Arial" w:hAnsi="Arial" w:cs="Arial"/>
          <w:sz w:val="32"/>
          <w:szCs w:val="32"/>
        </w:rPr>
        <w:t>uditoria, c</w:t>
      </w:r>
      <w:r w:rsidRPr="00807DF8">
        <w:rPr>
          <w:rFonts w:ascii="Arial" w:hAnsi="Arial" w:cs="Arial"/>
          <w:sz w:val="32"/>
          <w:szCs w:val="32"/>
        </w:rPr>
        <w:t xml:space="preserve">ontudo, não está previsto no Contrato nº 003/SMSO/2018 que a TIR deveria ser essa, </w:t>
      </w:r>
      <w:r w:rsidR="00F87B3D" w:rsidRPr="00807DF8">
        <w:rPr>
          <w:rFonts w:ascii="Arial" w:hAnsi="Arial" w:cs="Arial"/>
          <w:sz w:val="32"/>
          <w:szCs w:val="32"/>
        </w:rPr>
        <w:t>uma vez que há</w:t>
      </w:r>
      <w:r w:rsidRPr="00807DF8">
        <w:rPr>
          <w:rFonts w:ascii="Arial" w:hAnsi="Arial" w:cs="Arial"/>
          <w:sz w:val="32"/>
          <w:szCs w:val="32"/>
        </w:rPr>
        <w:t xml:space="preserve"> dispositivo próprio para tratar de reequilíbrio econômico-financeiro em casos de eventos futuros, sendo que o subitem 24.9.2. do Contrato estipula que a taxa de desconto real anual a ser utilizada no cálculo do valor presente será composta pela média dos últimos 03 (três) meses da taxa bruta de juros de venda do Tesouro IPCA+ com Juros Semestrais acrescida de um prêmio de risco de 3% a.a. </w:t>
      </w:r>
    </w:p>
    <w:p w14:paraId="1EEC9BFD" w14:textId="10BF3E28" w:rsidR="004F513B" w:rsidRPr="00807DF8" w:rsidRDefault="004F513B" w:rsidP="00034328">
      <w:pPr>
        <w:ind w:firstLine="708"/>
        <w:jc w:val="both"/>
        <w:rPr>
          <w:rFonts w:ascii="Arial" w:hAnsi="Arial" w:cs="Arial"/>
          <w:sz w:val="32"/>
          <w:szCs w:val="32"/>
        </w:rPr>
      </w:pPr>
      <w:r w:rsidRPr="00807DF8">
        <w:rPr>
          <w:rFonts w:ascii="Arial" w:hAnsi="Arial" w:cs="Arial"/>
          <w:sz w:val="32"/>
          <w:szCs w:val="32"/>
        </w:rPr>
        <w:t>Assim, concluiu a Auditoria que se o aditivo contratual fosse assinado em 01.08.2022, a TIR a ser utilizada na inclusão dos serviços semafórico</w:t>
      </w:r>
      <w:r w:rsidR="00034328">
        <w:rPr>
          <w:rFonts w:ascii="Arial" w:hAnsi="Arial" w:cs="Arial"/>
          <w:sz w:val="32"/>
          <w:szCs w:val="32"/>
        </w:rPr>
        <w:t>s</w:t>
      </w:r>
      <w:r w:rsidRPr="00807DF8">
        <w:rPr>
          <w:rFonts w:ascii="Arial" w:hAnsi="Arial" w:cs="Arial"/>
          <w:sz w:val="32"/>
          <w:szCs w:val="32"/>
        </w:rPr>
        <w:t xml:space="preserve"> seria de 9,06% a.a.</w:t>
      </w:r>
    </w:p>
    <w:p w14:paraId="76290496" w14:textId="61858692" w:rsidR="00DE2FF3" w:rsidRPr="00807DF8" w:rsidRDefault="00DE2FF3" w:rsidP="00034328">
      <w:pPr>
        <w:ind w:firstLine="708"/>
        <w:jc w:val="both"/>
        <w:rPr>
          <w:rFonts w:ascii="Arial" w:hAnsi="Arial" w:cs="Arial"/>
          <w:sz w:val="32"/>
          <w:szCs w:val="32"/>
        </w:rPr>
      </w:pPr>
      <w:r w:rsidRPr="00807DF8">
        <w:rPr>
          <w:rFonts w:ascii="Arial" w:hAnsi="Arial" w:cs="Arial"/>
          <w:sz w:val="32"/>
          <w:szCs w:val="32"/>
        </w:rPr>
        <w:t xml:space="preserve">Ainda que possa assistir razão à Auditoria quanto aos cálculos apresentados, a diferença de 0,47% ao ano no valor da TIR não tem o condão de afastar a demonstração da </w:t>
      </w:r>
      <w:r w:rsidRPr="00807DF8">
        <w:rPr>
          <w:rFonts w:ascii="Arial" w:hAnsi="Arial" w:cs="Arial"/>
          <w:sz w:val="32"/>
          <w:szCs w:val="32"/>
        </w:rPr>
        <w:lastRenderedPageBreak/>
        <w:t>economicidade da opção da Administração em relação à licitação específica dos serviços de manutenção e modernização semafórica.</w:t>
      </w:r>
      <w:r w:rsidR="00353BC0" w:rsidRPr="00807DF8">
        <w:rPr>
          <w:rFonts w:ascii="Arial" w:hAnsi="Arial" w:cs="Arial"/>
          <w:sz w:val="32"/>
          <w:szCs w:val="32"/>
        </w:rPr>
        <w:t xml:space="preserve"> </w:t>
      </w:r>
    </w:p>
    <w:p w14:paraId="1EA1D9DE" w14:textId="41D56740" w:rsidR="00DE2FF3" w:rsidRPr="00807DF8" w:rsidRDefault="00DE2FF3" w:rsidP="00F65039">
      <w:pPr>
        <w:ind w:firstLine="708"/>
        <w:jc w:val="both"/>
        <w:rPr>
          <w:rFonts w:ascii="Arial" w:hAnsi="Arial" w:cs="Arial"/>
          <w:sz w:val="32"/>
          <w:szCs w:val="32"/>
        </w:rPr>
      </w:pPr>
      <w:r w:rsidRPr="00807DF8">
        <w:rPr>
          <w:rFonts w:ascii="Arial" w:hAnsi="Arial" w:cs="Arial"/>
          <w:sz w:val="32"/>
          <w:szCs w:val="32"/>
        </w:rPr>
        <w:t>De todo modo, é prudente observar que o reequilíbrio econômico</w:t>
      </w:r>
      <w:r w:rsidR="00F65039">
        <w:rPr>
          <w:rFonts w:ascii="Arial" w:hAnsi="Arial" w:cs="Arial"/>
          <w:sz w:val="32"/>
          <w:szCs w:val="32"/>
        </w:rPr>
        <w:t>-</w:t>
      </w:r>
      <w:r w:rsidRPr="00807DF8">
        <w:rPr>
          <w:rFonts w:ascii="Arial" w:hAnsi="Arial" w:cs="Arial"/>
          <w:sz w:val="32"/>
          <w:szCs w:val="32"/>
        </w:rPr>
        <w:t xml:space="preserve">financeiro decorrente da retomada do contrato da PPP da Iluminação Pública é tratado no TC 1509/2021, o qual não teve a sua instrução concluída. </w:t>
      </w:r>
    </w:p>
    <w:p w14:paraId="422FD85D" w14:textId="6E20B245" w:rsidR="00DE2FF3" w:rsidRPr="00807DF8" w:rsidRDefault="00DE2FF3" w:rsidP="00F65039">
      <w:pPr>
        <w:ind w:firstLine="708"/>
        <w:jc w:val="both"/>
        <w:rPr>
          <w:rFonts w:ascii="Arial" w:hAnsi="Arial" w:cs="Arial"/>
          <w:sz w:val="32"/>
          <w:szCs w:val="32"/>
        </w:rPr>
      </w:pPr>
      <w:r w:rsidRPr="00807DF8">
        <w:rPr>
          <w:rFonts w:ascii="Arial" w:hAnsi="Arial" w:cs="Arial"/>
          <w:sz w:val="32"/>
          <w:szCs w:val="32"/>
        </w:rPr>
        <w:t xml:space="preserve">Assim, tendo em vista a importância da TIR na modelagem econômica da contratação e considerando que não há um posicionamento conclusivo desta Corte acerca dos estudos da FIA que fixaram a TIR no processo que </w:t>
      </w:r>
      <w:r w:rsidRPr="00B65A64">
        <w:rPr>
          <w:rFonts w:ascii="Arial" w:hAnsi="Arial" w:cs="Arial"/>
          <w:sz w:val="32"/>
          <w:szCs w:val="32"/>
        </w:rPr>
        <w:t>trat</w:t>
      </w:r>
      <w:r w:rsidR="00264D56" w:rsidRPr="00B65A64">
        <w:rPr>
          <w:rFonts w:ascii="Arial" w:hAnsi="Arial" w:cs="Arial"/>
          <w:sz w:val="32"/>
          <w:szCs w:val="32"/>
        </w:rPr>
        <w:t>a</w:t>
      </w:r>
      <w:r w:rsidRPr="00264D56">
        <w:rPr>
          <w:rFonts w:ascii="Arial" w:hAnsi="Arial" w:cs="Arial"/>
          <w:color w:val="FF0000"/>
          <w:sz w:val="32"/>
          <w:szCs w:val="32"/>
        </w:rPr>
        <w:t xml:space="preserve"> </w:t>
      </w:r>
      <w:r w:rsidRPr="00807DF8">
        <w:rPr>
          <w:rFonts w:ascii="Arial" w:hAnsi="Arial" w:cs="Arial"/>
          <w:sz w:val="32"/>
          <w:szCs w:val="32"/>
        </w:rPr>
        <w:t xml:space="preserve">reequilíbrio econômico-financeiro da PPP de Iluminação, </w:t>
      </w:r>
      <w:r w:rsidR="00045BAE" w:rsidRPr="00807DF8">
        <w:rPr>
          <w:rFonts w:ascii="Arial" w:hAnsi="Arial" w:cs="Arial"/>
          <w:sz w:val="32"/>
          <w:szCs w:val="32"/>
        </w:rPr>
        <w:t xml:space="preserve">entendo que não há prejuízo </w:t>
      </w:r>
      <w:r w:rsidR="00264D56">
        <w:rPr>
          <w:rFonts w:ascii="Arial" w:hAnsi="Arial" w:cs="Arial"/>
          <w:sz w:val="32"/>
          <w:szCs w:val="32"/>
        </w:rPr>
        <w:t>à</w:t>
      </w:r>
      <w:r w:rsidR="00045BAE" w:rsidRPr="00807DF8">
        <w:rPr>
          <w:rFonts w:ascii="Arial" w:hAnsi="Arial" w:cs="Arial"/>
          <w:sz w:val="32"/>
          <w:szCs w:val="32"/>
        </w:rPr>
        <w:t xml:space="preserve"> adoção, por ora, da TIR fixada nos estudos apresentados pela Administração, sem prejuízo de que a questão volte a ser debatida por ocasião da</w:t>
      </w:r>
      <w:r w:rsidR="00E55979" w:rsidRPr="00807DF8">
        <w:rPr>
          <w:rFonts w:ascii="Arial" w:hAnsi="Arial" w:cs="Arial"/>
          <w:sz w:val="32"/>
          <w:szCs w:val="32"/>
        </w:rPr>
        <w:t xml:space="preserve"> análise do Ter</w:t>
      </w:r>
      <w:r w:rsidR="00B403CC" w:rsidRPr="00807DF8">
        <w:rPr>
          <w:rFonts w:ascii="Arial" w:hAnsi="Arial" w:cs="Arial"/>
          <w:sz w:val="32"/>
          <w:szCs w:val="32"/>
        </w:rPr>
        <w:t>m</w:t>
      </w:r>
      <w:r w:rsidR="00E55979" w:rsidRPr="00807DF8">
        <w:rPr>
          <w:rFonts w:ascii="Arial" w:hAnsi="Arial" w:cs="Arial"/>
          <w:sz w:val="32"/>
          <w:szCs w:val="32"/>
        </w:rPr>
        <w:t xml:space="preserve">o Aditivo e da </w:t>
      </w:r>
      <w:r w:rsidR="00683479">
        <w:rPr>
          <w:rFonts w:ascii="Arial" w:hAnsi="Arial" w:cs="Arial"/>
          <w:sz w:val="32"/>
          <w:szCs w:val="32"/>
        </w:rPr>
        <w:t>E</w:t>
      </w:r>
      <w:r w:rsidR="00E55979" w:rsidRPr="00807DF8">
        <w:rPr>
          <w:rFonts w:ascii="Arial" w:hAnsi="Arial" w:cs="Arial"/>
          <w:sz w:val="32"/>
          <w:szCs w:val="32"/>
        </w:rPr>
        <w:t xml:space="preserve">xecução </w:t>
      </w:r>
      <w:r w:rsidR="00683479">
        <w:rPr>
          <w:rFonts w:ascii="Arial" w:hAnsi="Arial" w:cs="Arial"/>
          <w:sz w:val="32"/>
          <w:szCs w:val="32"/>
        </w:rPr>
        <w:t>C</w:t>
      </w:r>
      <w:r w:rsidR="00E55979" w:rsidRPr="00807DF8">
        <w:rPr>
          <w:rFonts w:ascii="Arial" w:hAnsi="Arial" w:cs="Arial"/>
          <w:sz w:val="32"/>
          <w:szCs w:val="32"/>
        </w:rPr>
        <w:t>ontratual</w:t>
      </w:r>
      <w:r w:rsidR="00045BAE" w:rsidRPr="00807DF8">
        <w:rPr>
          <w:rFonts w:ascii="Arial" w:hAnsi="Arial" w:cs="Arial"/>
          <w:sz w:val="32"/>
          <w:szCs w:val="32"/>
        </w:rPr>
        <w:t>, razão pela qual faço determinação ao final do meu voto.</w:t>
      </w:r>
      <w:r w:rsidRPr="00807DF8">
        <w:rPr>
          <w:rFonts w:ascii="Arial" w:hAnsi="Arial" w:cs="Arial"/>
          <w:sz w:val="32"/>
          <w:szCs w:val="32"/>
        </w:rPr>
        <w:t xml:space="preserve"> </w:t>
      </w:r>
    </w:p>
    <w:p w14:paraId="408C42E6" w14:textId="2A57D8DF" w:rsidR="00FC75EF" w:rsidRPr="00807DF8" w:rsidRDefault="00FC75EF" w:rsidP="002A4152">
      <w:pPr>
        <w:ind w:firstLine="708"/>
        <w:jc w:val="both"/>
        <w:rPr>
          <w:rFonts w:ascii="Arial" w:hAnsi="Arial" w:cs="Arial"/>
          <w:sz w:val="32"/>
          <w:szCs w:val="32"/>
        </w:rPr>
      </w:pPr>
      <w:r w:rsidRPr="00807DF8">
        <w:rPr>
          <w:rFonts w:ascii="Arial" w:hAnsi="Arial" w:cs="Arial"/>
          <w:sz w:val="32"/>
          <w:szCs w:val="32"/>
        </w:rPr>
        <w:t xml:space="preserve">No que diz respeito ao item 5.5, o índice de reajuste aplicado para atualização monetária dos orçamentos do Edital nº 001/2019 da CET foi o IGP-M. Contudo, a </w:t>
      </w:r>
      <w:r w:rsidR="002A4152">
        <w:rPr>
          <w:rFonts w:ascii="Arial" w:hAnsi="Arial" w:cs="Arial"/>
          <w:sz w:val="32"/>
          <w:szCs w:val="32"/>
        </w:rPr>
        <w:t>E</w:t>
      </w:r>
      <w:r w:rsidRPr="00807DF8">
        <w:rPr>
          <w:rFonts w:ascii="Arial" w:hAnsi="Arial" w:cs="Arial"/>
          <w:sz w:val="32"/>
          <w:szCs w:val="32"/>
        </w:rPr>
        <w:t xml:space="preserve">quipe de </w:t>
      </w:r>
      <w:r w:rsidR="002A4152">
        <w:rPr>
          <w:rFonts w:ascii="Arial" w:hAnsi="Arial" w:cs="Arial"/>
          <w:sz w:val="32"/>
          <w:szCs w:val="32"/>
        </w:rPr>
        <w:t>A</w:t>
      </w:r>
      <w:r w:rsidRPr="00807DF8">
        <w:rPr>
          <w:rFonts w:ascii="Arial" w:hAnsi="Arial" w:cs="Arial"/>
          <w:sz w:val="32"/>
          <w:szCs w:val="32"/>
        </w:rPr>
        <w:t xml:space="preserve">uditoria sustenta que conforme Curva ABC elaborada pela própria Origem, observa-se que os serviços de modernização possuem características de obras de engenharia, sendo o IGP-M impróprio para fazer atualização, os quais apresentam índices de reajustes consolidados no mercado da construção civil. </w:t>
      </w:r>
    </w:p>
    <w:p w14:paraId="5FEF4699" w14:textId="1F7B15A3" w:rsidR="00045BAE" w:rsidRPr="00807DF8" w:rsidRDefault="00FC75EF" w:rsidP="005137C9">
      <w:pPr>
        <w:ind w:firstLine="708"/>
        <w:jc w:val="both"/>
        <w:rPr>
          <w:rFonts w:ascii="Arial" w:hAnsi="Arial" w:cs="Arial"/>
          <w:sz w:val="32"/>
          <w:szCs w:val="32"/>
        </w:rPr>
      </w:pPr>
      <w:r w:rsidRPr="00807DF8">
        <w:rPr>
          <w:rFonts w:ascii="Arial" w:hAnsi="Arial" w:cs="Arial"/>
          <w:sz w:val="32"/>
          <w:szCs w:val="32"/>
        </w:rPr>
        <w:t>A correção pelo IGP-M, segundo seu raciocínio</w:t>
      </w:r>
      <w:r w:rsidR="005137C9">
        <w:rPr>
          <w:rFonts w:ascii="Arial" w:hAnsi="Arial" w:cs="Arial"/>
          <w:sz w:val="32"/>
          <w:szCs w:val="32"/>
        </w:rPr>
        <w:t>,</w:t>
      </w:r>
      <w:r w:rsidRPr="00807DF8">
        <w:rPr>
          <w:rFonts w:ascii="Arial" w:hAnsi="Arial" w:cs="Arial"/>
          <w:sz w:val="32"/>
          <w:szCs w:val="32"/>
        </w:rPr>
        <w:t xml:space="preserve"> leva a certa distorção, considerando </w:t>
      </w:r>
      <w:r w:rsidR="00B24DD0">
        <w:rPr>
          <w:rFonts w:ascii="Arial" w:hAnsi="Arial" w:cs="Arial"/>
          <w:sz w:val="32"/>
          <w:szCs w:val="32"/>
        </w:rPr>
        <w:t xml:space="preserve">que </w:t>
      </w:r>
      <w:r w:rsidR="00045BAE" w:rsidRPr="00807DF8">
        <w:rPr>
          <w:rFonts w:ascii="Arial" w:hAnsi="Arial" w:cs="Arial"/>
          <w:sz w:val="32"/>
          <w:szCs w:val="32"/>
        </w:rPr>
        <w:t xml:space="preserve">a adoção desse </w:t>
      </w:r>
      <w:r w:rsidRPr="00807DF8">
        <w:rPr>
          <w:rFonts w:ascii="Arial" w:hAnsi="Arial" w:cs="Arial"/>
          <w:sz w:val="32"/>
          <w:szCs w:val="32"/>
        </w:rPr>
        <w:t xml:space="preserve">índice para atualização monetária dos orçamentos da CET foi da ordem </w:t>
      </w:r>
      <w:r w:rsidR="00B24DD0">
        <w:rPr>
          <w:rFonts w:ascii="Arial" w:hAnsi="Arial" w:cs="Arial"/>
          <w:sz w:val="32"/>
          <w:szCs w:val="32"/>
        </w:rPr>
        <w:t xml:space="preserve">de </w:t>
      </w:r>
      <w:r w:rsidRPr="00807DF8">
        <w:rPr>
          <w:rFonts w:ascii="Arial" w:hAnsi="Arial" w:cs="Arial"/>
          <w:sz w:val="32"/>
          <w:szCs w:val="32"/>
        </w:rPr>
        <w:t xml:space="preserve">53%, enquanto </w:t>
      </w:r>
      <w:r w:rsidR="00045BAE" w:rsidRPr="00807DF8">
        <w:rPr>
          <w:rFonts w:ascii="Arial" w:hAnsi="Arial" w:cs="Arial"/>
          <w:sz w:val="32"/>
          <w:szCs w:val="32"/>
        </w:rPr>
        <w:t>o</w:t>
      </w:r>
      <w:r w:rsidRPr="00807DF8">
        <w:rPr>
          <w:rFonts w:ascii="Arial" w:hAnsi="Arial" w:cs="Arial"/>
          <w:sz w:val="32"/>
          <w:szCs w:val="32"/>
        </w:rPr>
        <w:t xml:space="preserve"> INCC</w:t>
      </w:r>
      <w:r w:rsidR="00045BAE" w:rsidRPr="00807DF8">
        <w:rPr>
          <w:rFonts w:ascii="Arial" w:hAnsi="Arial" w:cs="Arial"/>
          <w:sz w:val="32"/>
          <w:szCs w:val="32"/>
        </w:rPr>
        <w:t>, por sua vez,</w:t>
      </w:r>
      <w:r w:rsidRPr="00807DF8">
        <w:rPr>
          <w:rFonts w:ascii="Arial" w:hAnsi="Arial" w:cs="Arial"/>
          <w:sz w:val="32"/>
          <w:szCs w:val="32"/>
        </w:rPr>
        <w:t xml:space="preserve"> apresentou variação no período </w:t>
      </w:r>
      <w:r w:rsidR="00045BAE" w:rsidRPr="00807DF8">
        <w:rPr>
          <w:rFonts w:ascii="Arial" w:hAnsi="Arial" w:cs="Arial"/>
          <w:sz w:val="32"/>
          <w:szCs w:val="32"/>
        </w:rPr>
        <w:t>de julho/2019 até setembro/2021 da ordem</w:t>
      </w:r>
      <w:r w:rsidRPr="00807DF8">
        <w:rPr>
          <w:rFonts w:ascii="Arial" w:hAnsi="Arial" w:cs="Arial"/>
          <w:sz w:val="32"/>
          <w:szCs w:val="32"/>
        </w:rPr>
        <w:t xml:space="preserve"> de 35%. </w:t>
      </w:r>
    </w:p>
    <w:p w14:paraId="79743BA3" w14:textId="77777777" w:rsidR="00045BAE" w:rsidRPr="00807DF8" w:rsidRDefault="00045BAE" w:rsidP="0045790C">
      <w:pPr>
        <w:ind w:firstLine="708"/>
        <w:jc w:val="both"/>
        <w:rPr>
          <w:rFonts w:ascii="Arial" w:hAnsi="Arial" w:cs="Arial"/>
          <w:sz w:val="32"/>
          <w:szCs w:val="32"/>
        </w:rPr>
      </w:pPr>
      <w:r w:rsidRPr="00807DF8">
        <w:rPr>
          <w:rFonts w:ascii="Arial" w:hAnsi="Arial" w:cs="Arial"/>
          <w:sz w:val="32"/>
          <w:szCs w:val="32"/>
        </w:rPr>
        <w:lastRenderedPageBreak/>
        <w:t>No entender da Auditoria</w:t>
      </w:r>
      <w:r w:rsidR="00BB146B" w:rsidRPr="00807DF8">
        <w:rPr>
          <w:rFonts w:ascii="Arial" w:hAnsi="Arial" w:cs="Arial"/>
          <w:sz w:val="32"/>
          <w:szCs w:val="32"/>
        </w:rPr>
        <w:t xml:space="preserve">, ao menos no que toca a parcela relativa à modernização, a aplicação do IGP-M não se mostra adequada, </w:t>
      </w:r>
      <w:r w:rsidR="00BB146B" w:rsidRPr="00807DF8">
        <w:rPr>
          <w:rFonts w:ascii="Arial" w:hAnsi="Arial" w:cs="Arial"/>
          <w:i/>
          <w:sz w:val="32"/>
          <w:szCs w:val="32"/>
        </w:rPr>
        <w:t>“tendo em vista se tratar de obras e serviços de engenharia, os quais apresentam índices de reajustes consolidados no mercado da construção civil.”</w:t>
      </w:r>
    </w:p>
    <w:p w14:paraId="7B20D72B" w14:textId="77777777" w:rsidR="00045BAE" w:rsidRPr="00807DF8" w:rsidRDefault="00045BAE" w:rsidP="0045790C">
      <w:pPr>
        <w:ind w:firstLine="708"/>
        <w:jc w:val="both"/>
        <w:rPr>
          <w:rFonts w:ascii="Arial" w:hAnsi="Arial" w:cs="Arial"/>
          <w:sz w:val="32"/>
          <w:szCs w:val="32"/>
        </w:rPr>
      </w:pPr>
      <w:r w:rsidRPr="00807DF8">
        <w:rPr>
          <w:rFonts w:ascii="Arial" w:hAnsi="Arial" w:cs="Arial"/>
          <w:sz w:val="32"/>
          <w:szCs w:val="32"/>
        </w:rPr>
        <w:t xml:space="preserve">Acerca do índice adotado nos estudos econômicos apresentados, a Administração registrou, em síntese, a seguinte justificativa: </w:t>
      </w:r>
    </w:p>
    <w:p w14:paraId="35EB8FAC" w14:textId="77777777" w:rsidR="00045BAE" w:rsidRPr="00807DF8" w:rsidRDefault="00045BAE" w:rsidP="00045BAE">
      <w:pPr>
        <w:ind w:left="1134"/>
        <w:jc w:val="both"/>
        <w:rPr>
          <w:rFonts w:ascii="Arial" w:hAnsi="Arial" w:cs="Arial"/>
          <w:i/>
          <w:sz w:val="32"/>
          <w:szCs w:val="32"/>
        </w:rPr>
      </w:pPr>
      <w:r w:rsidRPr="00807DF8">
        <w:rPr>
          <w:rFonts w:ascii="Arial" w:hAnsi="Arial" w:cs="Arial"/>
          <w:i/>
          <w:sz w:val="32"/>
          <w:szCs w:val="32"/>
        </w:rPr>
        <w:t>O IGP-M se aproxima mais do Índice de Preços ao Produtor (IPP, IBGE) e capta melhor o impacto que as variações cambiais geram sobre os custos produtivos das empresas, desse modo, se mostra um bom índice para corrigir monetariamente o valor de materiais e maquinários. Note-se que até janeiro de 2019 o acumulado do IGP-M (13,4%) e do IPC-FIPE (11,4%) estavam em patamares próximos. A pandemia, contudo, alterou os patamares desses índices, fazendo o acumulado do IGP-M (74,9%) e IPC-FIPE (29,5%) se distanciarem significativamente</w:t>
      </w:r>
      <w:r w:rsidR="002B0CBE" w:rsidRPr="00807DF8">
        <w:rPr>
          <w:rFonts w:ascii="Arial" w:hAnsi="Arial" w:cs="Arial"/>
          <w:i/>
          <w:sz w:val="32"/>
          <w:szCs w:val="32"/>
        </w:rPr>
        <w:t>.</w:t>
      </w:r>
      <w:r w:rsidRPr="00807DF8">
        <w:rPr>
          <w:rFonts w:ascii="Arial" w:hAnsi="Arial" w:cs="Arial"/>
          <w:i/>
          <w:sz w:val="32"/>
          <w:szCs w:val="32"/>
        </w:rPr>
        <w:t xml:space="preserve"> O uso do IPC-FIPE ao invés do IGP-M na atualização monetária dos preços dos itens do Edital nº 01/2019 não refletiria adequadamente a disparada dos preços em virtude da pandemia. Tal fato poderia gerar prejuízos à Concessionária e/ou necessidade de revisão logo no início da Concessão. </w:t>
      </w:r>
      <w:r w:rsidRPr="00807DF8">
        <w:rPr>
          <w:rFonts w:ascii="Arial" w:hAnsi="Arial" w:cs="Arial"/>
          <w:sz w:val="32"/>
          <w:szCs w:val="32"/>
        </w:rPr>
        <w:t>(fl. 8, peça 148)</w:t>
      </w:r>
    </w:p>
    <w:p w14:paraId="28F3877D" w14:textId="7686F814" w:rsidR="00045BAE" w:rsidRPr="00807DF8" w:rsidRDefault="00BB146B" w:rsidP="0093144C">
      <w:pPr>
        <w:ind w:firstLine="708"/>
        <w:jc w:val="both"/>
        <w:rPr>
          <w:rFonts w:ascii="Arial" w:hAnsi="Arial" w:cs="Arial"/>
          <w:sz w:val="32"/>
          <w:szCs w:val="32"/>
        </w:rPr>
      </w:pPr>
      <w:r w:rsidRPr="00807DF8">
        <w:rPr>
          <w:rFonts w:ascii="Arial" w:hAnsi="Arial" w:cs="Arial"/>
          <w:sz w:val="32"/>
          <w:szCs w:val="32"/>
        </w:rPr>
        <w:t>A Origem apresenta ainda estudo que demonstra a</w:t>
      </w:r>
      <w:r w:rsidR="0093144C">
        <w:rPr>
          <w:rFonts w:ascii="Arial" w:hAnsi="Arial" w:cs="Arial"/>
          <w:sz w:val="32"/>
          <w:szCs w:val="32"/>
        </w:rPr>
        <w:t>s</w:t>
      </w:r>
      <w:r w:rsidRPr="00807DF8">
        <w:rPr>
          <w:rFonts w:ascii="Arial" w:hAnsi="Arial" w:cs="Arial"/>
          <w:sz w:val="32"/>
          <w:szCs w:val="32"/>
        </w:rPr>
        <w:t xml:space="preserve"> variações dos preços dos insumos e matérias-primas </w:t>
      </w:r>
      <w:r w:rsidR="002B0CBE" w:rsidRPr="00807DF8">
        <w:rPr>
          <w:rFonts w:ascii="Arial" w:hAnsi="Arial" w:cs="Arial"/>
          <w:sz w:val="32"/>
          <w:szCs w:val="32"/>
        </w:rPr>
        <w:t xml:space="preserve">que </w:t>
      </w:r>
      <w:r w:rsidRPr="00807DF8">
        <w:rPr>
          <w:rFonts w:ascii="Arial" w:hAnsi="Arial" w:cs="Arial"/>
          <w:sz w:val="32"/>
          <w:szCs w:val="32"/>
        </w:rPr>
        <w:t>tiveram significativa elevação devido a pandemia da COVID-19.</w:t>
      </w:r>
    </w:p>
    <w:p w14:paraId="21A17D43" w14:textId="77777777" w:rsidR="00BB146B" w:rsidRPr="00807DF8" w:rsidRDefault="00BB146B" w:rsidP="0093144C">
      <w:pPr>
        <w:ind w:firstLine="708"/>
        <w:jc w:val="both"/>
        <w:rPr>
          <w:rFonts w:ascii="Arial" w:hAnsi="Arial" w:cs="Arial"/>
          <w:sz w:val="32"/>
          <w:szCs w:val="32"/>
        </w:rPr>
      </w:pPr>
      <w:r w:rsidRPr="00807DF8">
        <w:rPr>
          <w:rFonts w:ascii="Arial" w:hAnsi="Arial" w:cs="Arial"/>
          <w:sz w:val="32"/>
          <w:szCs w:val="32"/>
        </w:rPr>
        <w:t xml:space="preserve">Ainda que se possa considerar as premissas utilizadas pela Auditoria neste item como corretas, entendo que a </w:t>
      </w:r>
      <w:r w:rsidRPr="00807DF8">
        <w:rPr>
          <w:rFonts w:ascii="Arial" w:hAnsi="Arial" w:cs="Arial"/>
          <w:sz w:val="32"/>
          <w:szCs w:val="32"/>
        </w:rPr>
        <w:lastRenderedPageBreak/>
        <w:t>justificativa apresentada pela Origem se mostra bem fundamentada e dentro dos parâmetros da razoabilidade.</w:t>
      </w:r>
    </w:p>
    <w:p w14:paraId="4B4F2551" w14:textId="23AB69A1" w:rsidR="00BB146B" w:rsidRPr="00807DF8" w:rsidRDefault="00BB146B" w:rsidP="0093144C">
      <w:pPr>
        <w:ind w:firstLine="708"/>
        <w:jc w:val="both"/>
        <w:rPr>
          <w:rFonts w:ascii="Arial" w:hAnsi="Arial" w:cs="Arial"/>
          <w:sz w:val="32"/>
          <w:szCs w:val="32"/>
        </w:rPr>
      </w:pPr>
      <w:r w:rsidRPr="00807DF8">
        <w:rPr>
          <w:rFonts w:ascii="Arial" w:hAnsi="Arial" w:cs="Arial"/>
          <w:sz w:val="32"/>
          <w:szCs w:val="32"/>
        </w:rPr>
        <w:t xml:space="preserve">Ademais, tendo em vista que a adoção do índice sugerido pela Auditoria recairia apenas em uma das parcelas que compunham o orçamento do Edital nº 001/2019, </w:t>
      </w:r>
      <w:r w:rsidR="001B51D5" w:rsidRPr="00807DF8">
        <w:rPr>
          <w:rFonts w:ascii="Arial" w:hAnsi="Arial" w:cs="Arial"/>
          <w:sz w:val="32"/>
          <w:szCs w:val="32"/>
        </w:rPr>
        <w:t>entendo que a adoção do IGPM tanto para a parcela de modernização como para a parcela de manutenção não provocou grave distorção no orçamento referencial a ponto de retirar a demonstração da vantajosidade econômica da opção da Administração, razão pela qual entendo ter restada demonstrada, ma</w:t>
      </w:r>
      <w:r w:rsidR="002B0CBE" w:rsidRPr="00807DF8">
        <w:rPr>
          <w:rFonts w:ascii="Arial" w:hAnsi="Arial" w:cs="Arial"/>
          <w:sz w:val="32"/>
          <w:szCs w:val="32"/>
        </w:rPr>
        <w:t>i</w:t>
      </w:r>
      <w:r w:rsidR="001B51D5" w:rsidRPr="00807DF8">
        <w:rPr>
          <w:rFonts w:ascii="Arial" w:hAnsi="Arial" w:cs="Arial"/>
          <w:sz w:val="32"/>
          <w:szCs w:val="32"/>
        </w:rPr>
        <w:t xml:space="preserve">s uma vez, a vantajosidade do ponto de vista econômico da opção da </w:t>
      </w:r>
      <w:r w:rsidR="0093144C" w:rsidRPr="00807DF8">
        <w:rPr>
          <w:rFonts w:ascii="Arial" w:hAnsi="Arial" w:cs="Arial"/>
          <w:sz w:val="32"/>
          <w:szCs w:val="32"/>
        </w:rPr>
        <w:t>Administração</w:t>
      </w:r>
      <w:r w:rsidR="001B51D5" w:rsidRPr="00807DF8">
        <w:rPr>
          <w:rFonts w:ascii="Arial" w:hAnsi="Arial" w:cs="Arial"/>
          <w:sz w:val="32"/>
          <w:szCs w:val="32"/>
        </w:rPr>
        <w:t>.</w:t>
      </w:r>
    </w:p>
    <w:p w14:paraId="3657742F" w14:textId="77777777" w:rsidR="00835439" w:rsidRPr="00807DF8" w:rsidRDefault="001B51D5" w:rsidP="007F6F7B">
      <w:pPr>
        <w:ind w:firstLine="708"/>
        <w:jc w:val="both"/>
        <w:rPr>
          <w:rFonts w:ascii="Arial" w:hAnsi="Arial" w:cs="Arial"/>
          <w:sz w:val="32"/>
          <w:szCs w:val="32"/>
        </w:rPr>
      </w:pPr>
      <w:r w:rsidRPr="00807DF8">
        <w:rPr>
          <w:rFonts w:ascii="Arial" w:hAnsi="Arial" w:cs="Arial"/>
          <w:sz w:val="32"/>
          <w:szCs w:val="32"/>
        </w:rPr>
        <w:t xml:space="preserve">Quanto aos demais apontamentos da Auditoria relacionados ao </w:t>
      </w:r>
      <w:r w:rsidR="00353BC0" w:rsidRPr="00807DF8">
        <w:rPr>
          <w:rFonts w:ascii="Arial" w:hAnsi="Arial" w:cs="Arial"/>
          <w:sz w:val="32"/>
          <w:szCs w:val="32"/>
        </w:rPr>
        <w:t>aspecto</w:t>
      </w:r>
      <w:r w:rsidRPr="00807DF8">
        <w:rPr>
          <w:rFonts w:ascii="Arial" w:hAnsi="Arial" w:cs="Arial"/>
          <w:sz w:val="32"/>
          <w:szCs w:val="32"/>
        </w:rPr>
        <w:t xml:space="preserve"> econômico, entendo que são de menor relevância </w:t>
      </w:r>
      <w:r w:rsidR="00835439" w:rsidRPr="00807DF8">
        <w:rPr>
          <w:rFonts w:ascii="Arial" w:hAnsi="Arial" w:cs="Arial"/>
          <w:sz w:val="32"/>
          <w:szCs w:val="32"/>
        </w:rPr>
        <w:t xml:space="preserve">por não </w:t>
      </w:r>
      <w:r w:rsidRPr="00807DF8">
        <w:rPr>
          <w:rFonts w:ascii="Arial" w:hAnsi="Arial" w:cs="Arial"/>
          <w:sz w:val="32"/>
          <w:szCs w:val="32"/>
        </w:rPr>
        <w:t>impacta</w:t>
      </w:r>
      <w:r w:rsidR="00835439" w:rsidRPr="00807DF8">
        <w:rPr>
          <w:rFonts w:ascii="Arial" w:hAnsi="Arial" w:cs="Arial"/>
          <w:sz w:val="32"/>
          <w:szCs w:val="32"/>
        </w:rPr>
        <w:t>rem</w:t>
      </w:r>
      <w:r w:rsidRPr="00807DF8">
        <w:rPr>
          <w:rFonts w:ascii="Arial" w:hAnsi="Arial" w:cs="Arial"/>
          <w:sz w:val="32"/>
          <w:szCs w:val="32"/>
        </w:rPr>
        <w:t xml:space="preserve"> de forma significativa na an</w:t>
      </w:r>
      <w:r w:rsidR="00835439" w:rsidRPr="00807DF8">
        <w:rPr>
          <w:rFonts w:ascii="Arial" w:hAnsi="Arial" w:cs="Arial"/>
          <w:sz w:val="32"/>
          <w:szCs w:val="32"/>
        </w:rPr>
        <w:t xml:space="preserve">álise </w:t>
      </w:r>
      <w:r w:rsidRPr="00807DF8">
        <w:rPr>
          <w:rFonts w:ascii="Arial" w:hAnsi="Arial" w:cs="Arial"/>
          <w:sz w:val="32"/>
          <w:szCs w:val="32"/>
        </w:rPr>
        <w:t xml:space="preserve"> </w:t>
      </w:r>
      <w:r w:rsidR="00835439" w:rsidRPr="00807DF8">
        <w:rPr>
          <w:rFonts w:ascii="Arial" w:hAnsi="Arial" w:cs="Arial"/>
          <w:sz w:val="32"/>
          <w:szCs w:val="32"/>
        </w:rPr>
        <w:t>da vantajosidade da opção da Administração aqui avaliada, cabendo ressaltar, em relação ao apontamento quanto à impropriedade com a utilização da data-base dos orçamentos, pois foram utilizados como premissas os valores de orçamentos da CET de 2019, que tais orçamentos foram reavaliados e refeitos pela Origem em julho de 2021 o que, ao menos para fins do que se propõe essa etapa processual, possibilitou que a confrontação entre as opções da administração não sofresse distorções significativas.</w:t>
      </w:r>
    </w:p>
    <w:p w14:paraId="54110E28" w14:textId="045925CD" w:rsidR="00835439" w:rsidRPr="00807DF8" w:rsidRDefault="006A06A4" w:rsidP="00C920FA">
      <w:pPr>
        <w:ind w:firstLine="708"/>
        <w:jc w:val="both"/>
        <w:rPr>
          <w:rFonts w:ascii="Arial" w:hAnsi="Arial" w:cs="Arial"/>
          <w:sz w:val="32"/>
          <w:szCs w:val="32"/>
        </w:rPr>
      </w:pPr>
      <w:r w:rsidRPr="00807DF8">
        <w:rPr>
          <w:rFonts w:ascii="Arial" w:hAnsi="Arial" w:cs="Arial"/>
          <w:sz w:val="32"/>
          <w:szCs w:val="32"/>
        </w:rPr>
        <w:t xml:space="preserve">Dessa forma, em relação à </w:t>
      </w:r>
      <w:r w:rsidR="00C920FA" w:rsidRPr="00807DF8">
        <w:rPr>
          <w:rFonts w:ascii="Arial" w:hAnsi="Arial" w:cs="Arial"/>
          <w:sz w:val="32"/>
          <w:szCs w:val="32"/>
        </w:rPr>
        <w:t>economicidade</w:t>
      </w:r>
      <w:r w:rsidR="00C920FA">
        <w:rPr>
          <w:rFonts w:ascii="Arial" w:hAnsi="Arial" w:cs="Arial"/>
          <w:sz w:val="32"/>
          <w:szCs w:val="32"/>
        </w:rPr>
        <w:t>,</w:t>
      </w:r>
      <w:r w:rsidRPr="00807DF8">
        <w:rPr>
          <w:rFonts w:ascii="Arial" w:hAnsi="Arial" w:cs="Arial"/>
          <w:sz w:val="32"/>
          <w:szCs w:val="32"/>
        </w:rPr>
        <w:t xml:space="preserve"> entendo que os apontamentos da </w:t>
      </w:r>
      <w:r w:rsidR="00C920FA">
        <w:rPr>
          <w:rFonts w:ascii="Arial" w:hAnsi="Arial" w:cs="Arial"/>
          <w:sz w:val="32"/>
          <w:szCs w:val="32"/>
        </w:rPr>
        <w:t>A</w:t>
      </w:r>
      <w:r w:rsidRPr="00807DF8">
        <w:rPr>
          <w:rFonts w:ascii="Arial" w:hAnsi="Arial" w:cs="Arial"/>
          <w:sz w:val="32"/>
          <w:szCs w:val="32"/>
        </w:rPr>
        <w:t>uditoria não se mostraram aptos a afastar as conclusões expressas nos estudos econômicos apresentados pela Administração, que indicaram a vantajosidade da escolha pela opção de inclusão dos serviços de manutenção e modernização semafórica à PPP da Iluminação, atendendo, nesse ponto, requisito previsto no art. 19 da Lei 17.731/2022.</w:t>
      </w:r>
    </w:p>
    <w:p w14:paraId="2D5901A1" w14:textId="77777777" w:rsidR="00D468A7" w:rsidRPr="00807DF8" w:rsidRDefault="006A06A4" w:rsidP="004702DB">
      <w:pPr>
        <w:ind w:firstLine="708"/>
        <w:jc w:val="both"/>
        <w:rPr>
          <w:rFonts w:ascii="Arial" w:hAnsi="Arial" w:cs="Arial"/>
          <w:sz w:val="32"/>
          <w:szCs w:val="32"/>
        </w:rPr>
      </w:pPr>
      <w:r w:rsidRPr="00807DF8">
        <w:rPr>
          <w:rFonts w:ascii="Arial" w:hAnsi="Arial" w:cs="Arial"/>
          <w:sz w:val="32"/>
          <w:szCs w:val="32"/>
        </w:rPr>
        <w:lastRenderedPageBreak/>
        <w:t xml:space="preserve">De todo modo, entendo ainda que a questão da economicidade deve ser avaliada, também, </w:t>
      </w:r>
      <w:r w:rsidR="00DD1F8F" w:rsidRPr="00807DF8">
        <w:rPr>
          <w:rFonts w:ascii="Arial" w:hAnsi="Arial" w:cs="Arial"/>
          <w:sz w:val="32"/>
          <w:szCs w:val="32"/>
        </w:rPr>
        <w:t xml:space="preserve">sob um viés mais amplo, que leve em consideração questões de cunho prático e a realidade que se coloca </w:t>
      </w:r>
      <w:r w:rsidR="00664962" w:rsidRPr="00807DF8">
        <w:rPr>
          <w:rFonts w:ascii="Arial" w:hAnsi="Arial" w:cs="Arial"/>
          <w:sz w:val="32"/>
          <w:szCs w:val="32"/>
        </w:rPr>
        <w:t>diante d</w:t>
      </w:r>
      <w:r w:rsidR="00DD1F8F" w:rsidRPr="00807DF8">
        <w:rPr>
          <w:rFonts w:ascii="Arial" w:hAnsi="Arial" w:cs="Arial"/>
          <w:sz w:val="32"/>
          <w:szCs w:val="32"/>
        </w:rPr>
        <w:t xml:space="preserve">o gestor público, </w:t>
      </w:r>
      <w:r w:rsidR="00664962" w:rsidRPr="00807DF8">
        <w:rPr>
          <w:rFonts w:ascii="Arial" w:hAnsi="Arial" w:cs="Arial"/>
          <w:sz w:val="32"/>
          <w:szCs w:val="32"/>
        </w:rPr>
        <w:t>exame</w:t>
      </w:r>
      <w:r w:rsidR="00DD1F8F" w:rsidRPr="00807DF8">
        <w:rPr>
          <w:rFonts w:ascii="Arial" w:hAnsi="Arial" w:cs="Arial"/>
          <w:sz w:val="32"/>
          <w:szCs w:val="32"/>
        </w:rPr>
        <w:t xml:space="preserve"> </w:t>
      </w:r>
      <w:r w:rsidR="00664962" w:rsidRPr="00807DF8">
        <w:rPr>
          <w:rFonts w:ascii="Arial" w:hAnsi="Arial" w:cs="Arial"/>
          <w:sz w:val="32"/>
          <w:szCs w:val="32"/>
        </w:rPr>
        <w:t xml:space="preserve">este </w:t>
      </w:r>
      <w:r w:rsidR="002B0CBE" w:rsidRPr="00807DF8">
        <w:rPr>
          <w:rFonts w:ascii="Arial" w:hAnsi="Arial" w:cs="Arial"/>
          <w:sz w:val="32"/>
          <w:szCs w:val="32"/>
        </w:rPr>
        <w:t xml:space="preserve">que precisa ser feito </w:t>
      </w:r>
      <w:r w:rsidR="00664962" w:rsidRPr="00807DF8">
        <w:rPr>
          <w:rFonts w:ascii="Arial" w:hAnsi="Arial" w:cs="Arial"/>
          <w:sz w:val="32"/>
          <w:szCs w:val="32"/>
        </w:rPr>
        <w:t xml:space="preserve">pelo </w:t>
      </w:r>
      <w:r w:rsidR="00DD1F8F" w:rsidRPr="00807DF8">
        <w:rPr>
          <w:rFonts w:ascii="Arial" w:hAnsi="Arial" w:cs="Arial"/>
          <w:sz w:val="32"/>
          <w:szCs w:val="32"/>
        </w:rPr>
        <w:t>Controle Externo</w:t>
      </w:r>
      <w:r w:rsidR="00664962" w:rsidRPr="00807DF8">
        <w:rPr>
          <w:rFonts w:ascii="Arial" w:hAnsi="Arial" w:cs="Arial"/>
          <w:sz w:val="32"/>
          <w:szCs w:val="32"/>
        </w:rPr>
        <w:t xml:space="preserve"> por expressa exigência legal, tendo em vista os termos da</w:t>
      </w:r>
      <w:r w:rsidR="00DD1F8F" w:rsidRPr="00807DF8">
        <w:rPr>
          <w:rFonts w:ascii="Arial" w:hAnsi="Arial" w:cs="Arial"/>
          <w:sz w:val="32"/>
          <w:szCs w:val="32"/>
        </w:rPr>
        <w:t xml:space="preserve"> Lei 13.655/18, que alterou a Lei de Introdução às Normas do Direito Brasileiro, para fazer constar, dentre outros, que </w:t>
      </w:r>
      <w:r w:rsidR="00664962" w:rsidRPr="00807DF8">
        <w:rPr>
          <w:rFonts w:ascii="Arial" w:hAnsi="Arial" w:cs="Arial"/>
          <w:sz w:val="32"/>
          <w:szCs w:val="32"/>
        </w:rPr>
        <w:t>é dever das entidades de controle considerar em suas decisões “</w:t>
      </w:r>
      <w:r w:rsidR="00664962" w:rsidRPr="00807DF8">
        <w:rPr>
          <w:rFonts w:ascii="Arial" w:hAnsi="Arial" w:cs="Arial"/>
          <w:i/>
          <w:sz w:val="32"/>
          <w:szCs w:val="32"/>
        </w:rPr>
        <w:t>os obstáculos e as dificuldades reais do gestor e as exigências das políticas públicas a seu cargo”</w:t>
      </w:r>
      <w:r w:rsidR="00664962" w:rsidRPr="00807DF8">
        <w:rPr>
          <w:rFonts w:ascii="Arial" w:hAnsi="Arial" w:cs="Arial"/>
          <w:sz w:val="32"/>
          <w:szCs w:val="32"/>
        </w:rPr>
        <w:t>, conforme se depreende do art. 22 da referida legislação.</w:t>
      </w:r>
    </w:p>
    <w:p w14:paraId="4AA042F2" w14:textId="2D7A839A" w:rsidR="00664962" w:rsidRPr="00807DF8" w:rsidRDefault="002B0CBE" w:rsidP="00E526EB">
      <w:pPr>
        <w:ind w:firstLine="708"/>
        <w:jc w:val="both"/>
        <w:rPr>
          <w:rFonts w:ascii="Arial" w:hAnsi="Arial" w:cs="Arial"/>
          <w:sz w:val="32"/>
          <w:szCs w:val="32"/>
        </w:rPr>
      </w:pPr>
      <w:r w:rsidRPr="00807DF8">
        <w:rPr>
          <w:rFonts w:ascii="Arial" w:hAnsi="Arial" w:cs="Arial"/>
          <w:sz w:val="32"/>
          <w:szCs w:val="32"/>
        </w:rPr>
        <w:t xml:space="preserve">Por vezes </w:t>
      </w:r>
      <w:r w:rsidR="00664962" w:rsidRPr="00807DF8">
        <w:rPr>
          <w:rFonts w:ascii="Arial" w:hAnsi="Arial" w:cs="Arial"/>
          <w:sz w:val="32"/>
          <w:szCs w:val="32"/>
        </w:rPr>
        <w:t>o administrador arrisca, experimenta, busca projetos para testá-los, sem ter plena certeza dos resultados. É assim no setor público</w:t>
      </w:r>
      <w:r w:rsidR="00E526EB">
        <w:rPr>
          <w:rFonts w:ascii="Arial" w:hAnsi="Arial" w:cs="Arial"/>
          <w:sz w:val="32"/>
          <w:szCs w:val="32"/>
        </w:rPr>
        <w:t>,</w:t>
      </w:r>
      <w:r w:rsidR="00664962" w:rsidRPr="00807DF8">
        <w:rPr>
          <w:rFonts w:ascii="Arial" w:hAnsi="Arial" w:cs="Arial"/>
          <w:sz w:val="32"/>
          <w:szCs w:val="32"/>
        </w:rPr>
        <w:t xml:space="preserve"> bem como no setor privado. Os órgãos de controle, por vezes, limita</w:t>
      </w:r>
      <w:r w:rsidRPr="00807DF8">
        <w:rPr>
          <w:rFonts w:ascii="Arial" w:hAnsi="Arial" w:cs="Arial"/>
          <w:sz w:val="32"/>
          <w:szCs w:val="32"/>
        </w:rPr>
        <w:t>m</w:t>
      </w:r>
      <w:r w:rsidR="00664962" w:rsidRPr="00807DF8">
        <w:rPr>
          <w:rFonts w:ascii="Arial" w:hAnsi="Arial" w:cs="Arial"/>
          <w:sz w:val="32"/>
          <w:szCs w:val="32"/>
        </w:rPr>
        <w:t xml:space="preserve"> essa atuação empreendedora do setor público. </w:t>
      </w:r>
    </w:p>
    <w:p w14:paraId="0135265E" w14:textId="4A3230BD" w:rsidR="00664962" w:rsidRPr="00807DF8" w:rsidRDefault="00664962" w:rsidP="00664962">
      <w:pPr>
        <w:jc w:val="both"/>
        <w:rPr>
          <w:rFonts w:ascii="Arial" w:hAnsi="Arial" w:cs="Arial"/>
          <w:sz w:val="32"/>
          <w:szCs w:val="32"/>
        </w:rPr>
      </w:pPr>
      <w:r w:rsidRPr="00807DF8">
        <w:rPr>
          <w:rFonts w:ascii="Arial" w:hAnsi="Arial" w:cs="Arial"/>
          <w:sz w:val="32"/>
          <w:szCs w:val="32"/>
        </w:rPr>
        <w:tab/>
        <w:t xml:space="preserve"> A Lei n. 13.655/18, ao alterar a Lei de Introdução às Normas do Direito Brasileiro, é uma tentativa do legislador para que </w:t>
      </w:r>
      <w:r w:rsidR="002B0CBE" w:rsidRPr="00807DF8">
        <w:rPr>
          <w:rFonts w:ascii="Arial" w:hAnsi="Arial" w:cs="Arial"/>
          <w:sz w:val="32"/>
          <w:szCs w:val="32"/>
        </w:rPr>
        <w:t>essa</w:t>
      </w:r>
      <w:r w:rsidRPr="00807DF8">
        <w:rPr>
          <w:rFonts w:ascii="Arial" w:hAnsi="Arial" w:cs="Arial"/>
          <w:sz w:val="32"/>
          <w:szCs w:val="32"/>
        </w:rPr>
        <w:t xml:space="preserve"> tradição</w:t>
      </w:r>
      <w:r w:rsidR="002B0CBE" w:rsidRPr="00807DF8">
        <w:rPr>
          <w:rFonts w:ascii="Arial" w:hAnsi="Arial" w:cs="Arial"/>
          <w:sz w:val="32"/>
          <w:szCs w:val="32"/>
        </w:rPr>
        <w:t xml:space="preserve"> conservadora e</w:t>
      </w:r>
      <w:r w:rsidRPr="00807DF8">
        <w:rPr>
          <w:rFonts w:ascii="Arial" w:hAnsi="Arial" w:cs="Arial"/>
          <w:sz w:val="32"/>
          <w:szCs w:val="32"/>
        </w:rPr>
        <w:t xml:space="preserve"> um tanto quanto burocrática seja vencida na Administração Pública brasileira. É por isso que essa lei clama para que na interpretação de normas se considere</w:t>
      </w:r>
      <w:r w:rsidR="00062441">
        <w:rPr>
          <w:rFonts w:ascii="Arial" w:hAnsi="Arial" w:cs="Arial"/>
          <w:sz w:val="32"/>
          <w:szCs w:val="32"/>
        </w:rPr>
        <w:t>m</w:t>
      </w:r>
      <w:r w:rsidRPr="00807DF8">
        <w:rPr>
          <w:rFonts w:ascii="Arial" w:hAnsi="Arial" w:cs="Arial"/>
          <w:sz w:val="32"/>
          <w:szCs w:val="32"/>
        </w:rPr>
        <w:t xml:space="preserve"> os obstáculos e as dificuldades reais do gestor e as exigências das políticas públicas a seu cargo. É por isso também que ela exige que sejam </w:t>
      </w:r>
      <w:r w:rsidRPr="00807DF8">
        <w:rPr>
          <w:rFonts w:ascii="Arial" w:hAnsi="Arial" w:cs="Arial"/>
          <w:i/>
          <w:sz w:val="32"/>
          <w:szCs w:val="32"/>
        </w:rPr>
        <w:t>“consideradas as circunstâncias práticas que houverem imposto, limitado ou condicionado a ação do agente”</w:t>
      </w:r>
      <w:r w:rsidRPr="00807DF8">
        <w:rPr>
          <w:rFonts w:ascii="Arial" w:hAnsi="Arial" w:cs="Arial"/>
          <w:sz w:val="32"/>
          <w:szCs w:val="32"/>
        </w:rPr>
        <w:t xml:space="preserve"> (art. 22, § 1º). É a razão prática da realidade sendo trazida para o Direito Público, </w:t>
      </w:r>
      <w:r w:rsidR="001129EC" w:rsidRPr="00807DF8">
        <w:rPr>
          <w:rFonts w:ascii="Arial" w:hAnsi="Arial" w:cs="Arial"/>
          <w:sz w:val="32"/>
          <w:szCs w:val="32"/>
        </w:rPr>
        <w:t xml:space="preserve">este ainda </w:t>
      </w:r>
      <w:r w:rsidRPr="00807DF8">
        <w:rPr>
          <w:rFonts w:ascii="Arial" w:hAnsi="Arial" w:cs="Arial"/>
          <w:sz w:val="32"/>
          <w:szCs w:val="32"/>
        </w:rPr>
        <w:t xml:space="preserve">muito preso à razão teórica da </w:t>
      </w:r>
      <w:r w:rsidR="00062441">
        <w:rPr>
          <w:rFonts w:ascii="Arial" w:hAnsi="Arial" w:cs="Arial"/>
          <w:sz w:val="32"/>
          <w:szCs w:val="32"/>
        </w:rPr>
        <w:t>A</w:t>
      </w:r>
      <w:r w:rsidRPr="00807DF8">
        <w:rPr>
          <w:rFonts w:ascii="Arial" w:hAnsi="Arial" w:cs="Arial"/>
          <w:sz w:val="32"/>
          <w:szCs w:val="32"/>
        </w:rPr>
        <w:t>cademia.</w:t>
      </w:r>
    </w:p>
    <w:p w14:paraId="6F0D9F90" w14:textId="77777777" w:rsidR="00664962" w:rsidRPr="00807DF8" w:rsidRDefault="00664962" w:rsidP="00664962">
      <w:pPr>
        <w:jc w:val="both"/>
        <w:rPr>
          <w:rFonts w:ascii="Arial" w:hAnsi="Arial" w:cs="Arial"/>
          <w:sz w:val="32"/>
          <w:szCs w:val="32"/>
        </w:rPr>
      </w:pPr>
      <w:r w:rsidRPr="00807DF8">
        <w:rPr>
          <w:rFonts w:ascii="Arial" w:hAnsi="Arial" w:cs="Arial"/>
          <w:sz w:val="32"/>
          <w:szCs w:val="32"/>
        </w:rPr>
        <w:tab/>
        <w:t xml:space="preserve">Com base nessa forma de alcançar a </w:t>
      </w:r>
      <w:r w:rsidRPr="00807DF8">
        <w:rPr>
          <w:rFonts w:ascii="Arial" w:hAnsi="Arial" w:cs="Arial"/>
          <w:i/>
          <w:sz w:val="32"/>
          <w:szCs w:val="32"/>
        </w:rPr>
        <w:t>ratio decidendi</w:t>
      </w:r>
      <w:r w:rsidRPr="00807DF8">
        <w:rPr>
          <w:rFonts w:ascii="Arial" w:hAnsi="Arial" w:cs="Arial"/>
          <w:sz w:val="32"/>
          <w:szCs w:val="32"/>
        </w:rPr>
        <w:t xml:space="preserve"> que os órgãos de controle devem se pautar perante a Administração Pública. E é com objetivo de alcançar uma </w:t>
      </w:r>
      <w:r w:rsidRPr="00807DF8">
        <w:rPr>
          <w:rFonts w:ascii="Arial" w:hAnsi="Arial" w:cs="Arial"/>
          <w:i/>
          <w:sz w:val="32"/>
          <w:szCs w:val="32"/>
        </w:rPr>
        <w:t>ratio decidendi</w:t>
      </w:r>
      <w:r w:rsidRPr="00807DF8">
        <w:rPr>
          <w:rFonts w:ascii="Arial" w:hAnsi="Arial" w:cs="Arial"/>
          <w:sz w:val="32"/>
          <w:szCs w:val="32"/>
        </w:rPr>
        <w:t xml:space="preserve"> fundamentada e condizente com a realidade que oficiei o Poder Executivo desde o início desse processo </w:t>
      </w:r>
      <w:r w:rsidRPr="00807DF8">
        <w:rPr>
          <w:rFonts w:ascii="Arial" w:hAnsi="Arial" w:cs="Arial"/>
          <w:sz w:val="32"/>
          <w:szCs w:val="32"/>
        </w:rPr>
        <w:lastRenderedPageBreak/>
        <w:t>para obter informações sobre os objetivos administrativos por trás</w:t>
      </w:r>
      <w:r w:rsidR="001129EC" w:rsidRPr="00807DF8">
        <w:rPr>
          <w:rFonts w:ascii="Arial" w:hAnsi="Arial" w:cs="Arial"/>
          <w:sz w:val="32"/>
          <w:szCs w:val="32"/>
        </w:rPr>
        <w:t xml:space="preserve"> do</w:t>
      </w:r>
      <w:r w:rsidRPr="00807DF8">
        <w:rPr>
          <w:rFonts w:ascii="Arial" w:hAnsi="Arial" w:cs="Arial"/>
          <w:sz w:val="32"/>
          <w:szCs w:val="32"/>
        </w:rPr>
        <w:t xml:space="preserve"> projeto de integração dos serviços de modernização e manutenção do sistema semafórico de São Paulo </w:t>
      </w:r>
      <w:r w:rsidR="001129EC" w:rsidRPr="00807DF8">
        <w:rPr>
          <w:rFonts w:ascii="Arial" w:hAnsi="Arial" w:cs="Arial"/>
          <w:sz w:val="32"/>
          <w:szCs w:val="32"/>
        </w:rPr>
        <w:t>a</w:t>
      </w:r>
      <w:r w:rsidRPr="00807DF8">
        <w:rPr>
          <w:rFonts w:ascii="Arial" w:hAnsi="Arial" w:cs="Arial"/>
          <w:sz w:val="32"/>
          <w:szCs w:val="32"/>
        </w:rPr>
        <w:t xml:space="preserve">os serviços de iluminação pública da cidade. </w:t>
      </w:r>
    </w:p>
    <w:p w14:paraId="78AF5916" w14:textId="77777777" w:rsidR="00664962" w:rsidRPr="00807DF8" w:rsidRDefault="00664962" w:rsidP="00664962">
      <w:pPr>
        <w:jc w:val="both"/>
        <w:rPr>
          <w:rFonts w:ascii="Arial" w:hAnsi="Arial" w:cs="Arial"/>
          <w:sz w:val="32"/>
          <w:szCs w:val="32"/>
        </w:rPr>
      </w:pPr>
      <w:r w:rsidRPr="00807DF8">
        <w:rPr>
          <w:rFonts w:ascii="Arial" w:hAnsi="Arial" w:cs="Arial"/>
          <w:sz w:val="32"/>
          <w:szCs w:val="32"/>
        </w:rPr>
        <w:tab/>
        <w:t xml:space="preserve">O Poder Executivo trouxe estudos para avaliar essa questão previamente. Conclui-se </w:t>
      </w:r>
      <w:r w:rsidR="001129EC" w:rsidRPr="00807DF8">
        <w:rPr>
          <w:rFonts w:ascii="Arial" w:hAnsi="Arial" w:cs="Arial"/>
          <w:sz w:val="32"/>
          <w:szCs w:val="32"/>
        </w:rPr>
        <w:t>d</w:t>
      </w:r>
      <w:r w:rsidRPr="00807DF8">
        <w:rPr>
          <w:rFonts w:ascii="Arial" w:hAnsi="Arial" w:cs="Arial"/>
          <w:sz w:val="32"/>
          <w:szCs w:val="32"/>
        </w:rPr>
        <w:t xml:space="preserve">esses estudos que o “valor da contraprestação mensal necessária para viabilizar o projeto de iluminação pública em conjunto com os serviços semafóricos se torna inferior à contraprestação de cada um destes serviços considerados separadamente”. </w:t>
      </w:r>
    </w:p>
    <w:p w14:paraId="79F99D72" w14:textId="77777777" w:rsidR="00664962" w:rsidRPr="00807DF8" w:rsidRDefault="00664962" w:rsidP="00664962">
      <w:pPr>
        <w:jc w:val="both"/>
        <w:rPr>
          <w:rFonts w:ascii="Arial" w:hAnsi="Arial" w:cs="Arial"/>
          <w:sz w:val="32"/>
          <w:szCs w:val="32"/>
        </w:rPr>
      </w:pPr>
      <w:r w:rsidRPr="00807DF8">
        <w:rPr>
          <w:rFonts w:ascii="Arial" w:hAnsi="Arial" w:cs="Arial"/>
          <w:sz w:val="32"/>
          <w:szCs w:val="32"/>
        </w:rPr>
        <w:tab/>
        <w:t>Por outro lado, solicitei também à nossa Auditoria que realizasse estudos sobre os impactos econômicos de cada modelo contratual a ser seguido, se por uma licitação própria ou se por uma integração ao contrato da PPP da iluminação.</w:t>
      </w:r>
    </w:p>
    <w:p w14:paraId="5B0BD88B" w14:textId="3D5533F3" w:rsidR="00834D06" w:rsidRDefault="00664962" w:rsidP="00664962">
      <w:pPr>
        <w:jc w:val="both"/>
        <w:rPr>
          <w:rFonts w:ascii="Arial" w:hAnsi="Arial" w:cs="Arial"/>
          <w:sz w:val="32"/>
          <w:szCs w:val="32"/>
        </w:rPr>
      </w:pPr>
      <w:r w:rsidRPr="00807DF8">
        <w:rPr>
          <w:rFonts w:ascii="Arial" w:hAnsi="Arial" w:cs="Arial"/>
          <w:sz w:val="32"/>
          <w:szCs w:val="32"/>
        </w:rPr>
        <w:tab/>
      </w:r>
      <w:r w:rsidR="00CE090F">
        <w:rPr>
          <w:rFonts w:ascii="Arial" w:hAnsi="Arial" w:cs="Arial"/>
          <w:sz w:val="32"/>
          <w:szCs w:val="32"/>
        </w:rPr>
        <w:t>A</w:t>
      </w:r>
      <w:r w:rsidRPr="00807DF8">
        <w:rPr>
          <w:rFonts w:ascii="Arial" w:hAnsi="Arial" w:cs="Arial"/>
          <w:sz w:val="32"/>
          <w:szCs w:val="32"/>
        </w:rPr>
        <w:t xml:space="preserve"> Auditoria não fez um estudo próprio, mas buscou apenas avaliar o estudo já feito no âmbito do Poder Executivo. Pontuando problemas técnicos de premissas, índices e datas em seu relatório, concluiu a Auditoria que não estaria comprovada a vantajosidade da incorporação da rede semafórica na PPP da iluminação sem</w:t>
      </w:r>
      <w:r w:rsidR="00316F34">
        <w:rPr>
          <w:rFonts w:ascii="Arial" w:hAnsi="Arial" w:cs="Arial"/>
          <w:sz w:val="32"/>
          <w:szCs w:val="32"/>
        </w:rPr>
        <w:t>,</w:t>
      </w:r>
      <w:r w:rsidRPr="00807DF8">
        <w:rPr>
          <w:rFonts w:ascii="Arial" w:hAnsi="Arial" w:cs="Arial"/>
          <w:sz w:val="32"/>
          <w:szCs w:val="32"/>
        </w:rPr>
        <w:t xml:space="preserve"> contudo</w:t>
      </w:r>
      <w:r w:rsidR="00316F34">
        <w:rPr>
          <w:rFonts w:ascii="Arial" w:hAnsi="Arial" w:cs="Arial"/>
          <w:sz w:val="32"/>
          <w:szCs w:val="32"/>
        </w:rPr>
        <w:t>,</w:t>
      </w:r>
      <w:r w:rsidRPr="00807DF8">
        <w:rPr>
          <w:rFonts w:ascii="Arial" w:hAnsi="Arial" w:cs="Arial"/>
          <w:sz w:val="32"/>
          <w:szCs w:val="32"/>
        </w:rPr>
        <w:t xml:space="preserve"> estudar, analisar ou concluir se, por outro lado, haveria comprovação da vantajosidade econômica de uma licitação e contratação próprias para a prestação do serviço semafórico.</w:t>
      </w:r>
    </w:p>
    <w:p w14:paraId="781A1360" w14:textId="1B2D51CC" w:rsidR="00664962" w:rsidRPr="00807DF8" w:rsidRDefault="00664962" w:rsidP="00834D06">
      <w:pPr>
        <w:ind w:firstLine="708"/>
        <w:jc w:val="both"/>
        <w:rPr>
          <w:rFonts w:ascii="Arial" w:hAnsi="Arial" w:cs="Arial"/>
          <w:sz w:val="32"/>
          <w:szCs w:val="32"/>
        </w:rPr>
      </w:pPr>
      <w:r w:rsidRPr="00807DF8">
        <w:rPr>
          <w:rFonts w:ascii="Arial" w:hAnsi="Arial" w:cs="Arial"/>
          <w:sz w:val="32"/>
          <w:szCs w:val="32"/>
        </w:rPr>
        <w:t xml:space="preserve">Dizer que algo não é comprovadamente vantajoso sem se estudar e afirmar que seu oposto seria vantajoso traz um evidente </w:t>
      </w:r>
      <w:r w:rsidRPr="00807DF8">
        <w:rPr>
          <w:rFonts w:ascii="Arial" w:hAnsi="Arial" w:cs="Arial"/>
          <w:i/>
          <w:sz w:val="32"/>
          <w:szCs w:val="32"/>
        </w:rPr>
        <w:t>non liquet</w:t>
      </w:r>
      <w:r w:rsidR="001129EC" w:rsidRPr="00807DF8">
        <w:rPr>
          <w:rFonts w:ascii="Arial" w:hAnsi="Arial" w:cs="Arial"/>
          <w:i/>
          <w:sz w:val="32"/>
          <w:szCs w:val="32"/>
        </w:rPr>
        <w:t xml:space="preserve"> </w:t>
      </w:r>
      <w:r w:rsidRPr="00807DF8">
        <w:rPr>
          <w:rFonts w:ascii="Arial" w:hAnsi="Arial" w:cs="Arial"/>
          <w:sz w:val="32"/>
          <w:szCs w:val="32"/>
        </w:rPr>
        <w:t>para as conclusões alcançadas</w:t>
      </w:r>
      <w:r w:rsidR="001129EC" w:rsidRPr="00807DF8">
        <w:rPr>
          <w:rFonts w:ascii="Arial" w:hAnsi="Arial" w:cs="Arial"/>
          <w:sz w:val="32"/>
          <w:szCs w:val="32"/>
        </w:rPr>
        <w:t>, ou seja, situação que implicaria em não decidir</w:t>
      </w:r>
      <w:r w:rsidRPr="00807DF8">
        <w:rPr>
          <w:rFonts w:ascii="Arial" w:hAnsi="Arial" w:cs="Arial"/>
          <w:sz w:val="32"/>
          <w:szCs w:val="32"/>
        </w:rPr>
        <w:t xml:space="preserve">. Isso não facilita o nosso </w:t>
      </w:r>
      <w:r w:rsidR="00834D06">
        <w:rPr>
          <w:rFonts w:ascii="Arial" w:hAnsi="Arial" w:cs="Arial"/>
          <w:sz w:val="32"/>
          <w:szCs w:val="32"/>
        </w:rPr>
        <w:t xml:space="preserve">papel </w:t>
      </w:r>
      <w:r w:rsidRPr="00807DF8">
        <w:rPr>
          <w:rFonts w:ascii="Arial" w:hAnsi="Arial" w:cs="Arial"/>
          <w:sz w:val="32"/>
          <w:szCs w:val="32"/>
        </w:rPr>
        <w:t>de julgadores, que devem sempre considerar as consequências práticas de suas decisões</w:t>
      </w:r>
      <w:r w:rsidR="00807869">
        <w:rPr>
          <w:rFonts w:ascii="Arial" w:hAnsi="Arial" w:cs="Arial"/>
          <w:sz w:val="32"/>
          <w:szCs w:val="32"/>
        </w:rPr>
        <w:t xml:space="preserve">, nos termo do </w:t>
      </w:r>
      <w:r w:rsidRPr="00807DF8">
        <w:rPr>
          <w:rFonts w:ascii="Arial" w:hAnsi="Arial" w:cs="Arial"/>
          <w:sz w:val="32"/>
          <w:szCs w:val="32"/>
        </w:rPr>
        <w:t>art. 20 da LINDB.</w:t>
      </w:r>
    </w:p>
    <w:p w14:paraId="1B66388C" w14:textId="6350221B" w:rsidR="00664962" w:rsidRPr="00807DF8" w:rsidRDefault="00664962" w:rsidP="00664962">
      <w:pPr>
        <w:jc w:val="both"/>
        <w:rPr>
          <w:rFonts w:ascii="Arial" w:hAnsi="Arial" w:cs="Arial"/>
          <w:sz w:val="32"/>
          <w:szCs w:val="32"/>
        </w:rPr>
      </w:pPr>
      <w:r w:rsidRPr="00807DF8">
        <w:rPr>
          <w:rFonts w:ascii="Arial" w:hAnsi="Arial" w:cs="Arial"/>
          <w:sz w:val="32"/>
          <w:szCs w:val="32"/>
        </w:rPr>
        <w:tab/>
        <w:t>Sobre esse ponto, penso que</w:t>
      </w:r>
      <w:r w:rsidR="005668A2">
        <w:rPr>
          <w:rFonts w:ascii="Arial" w:hAnsi="Arial" w:cs="Arial"/>
          <w:sz w:val="32"/>
          <w:szCs w:val="32"/>
        </w:rPr>
        <w:t>,</w:t>
      </w:r>
      <w:r w:rsidRPr="00807DF8">
        <w:rPr>
          <w:rFonts w:ascii="Arial" w:hAnsi="Arial" w:cs="Arial"/>
          <w:sz w:val="32"/>
          <w:szCs w:val="32"/>
        </w:rPr>
        <w:t xml:space="preserve"> em verdade</w:t>
      </w:r>
      <w:r w:rsidR="005668A2">
        <w:rPr>
          <w:rFonts w:ascii="Arial" w:hAnsi="Arial" w:cs="Arial"/>
          <w:sz w:val="32"/>
          <w:szCs w:val="32"/>
        </w:rPr>
        <w:t>,</w:t>
      </w:r>
      <w:r w:rsidRPr="00807DF8">
        <w:rPr>
          <w:rFonts w:ascii="Arial" w:hAnsi="Arial" w:cs="Arial"/>
          <w:sz w:val="32"/>
          <w:szCs w:val="32"/>
        </w:rPr>
        <w:t xml:space="preserve"> os dois estudos, tanto o do Poder Executivo quanto o da Auditoria, </w:t>
      </w:r>
      <w:r w:rsidRPr="00807DF8">
        <w:rPr>
          <w:rFonts w:ascii="Arial" w:hAnsi="Arial" w:cs="Arial"/>
          <w:sz w:val="32"/>
          <w:szCs w:val="32"/>
        </w:rPr>
        <w:lastRenderedPageBreak/>
        <w:t>foram limitados. Em suas análises econômicas, buscaram ambos discutir que métrica deve ser usada, quais parâmetros devem ser considerados, que metodologia deve ser empre</w:t>
      </w:r>
      <w:r w:rsidR="001129EC" w:rsidRPr="00807DF8">
        <w:rPr>
          <w:rFonts w:ascii="Arial" w:hAnsi="Arial" w:cs="Arial"/>
          <w:sz w:val="32"/>
          <w:szCs w:val="32"/>
        </w:rPr>
        <w:t>g</w:t>
      </w:r>
      <w:r w:rsidRPr="00807DF8">
        <w:rPr>
          <w:rFonts w:ascii="Arial" w:hAnsi="Arial" w:cs="Arial"/>
          <w:sz w:val="32"/>
          <w:szCs w:val="32"/>
        </w:rPr>
        <w:t>ada para, ao final, aferir se a contraprestação paga pelo Poder Executivo é menor sob um</w:t>
      </w:r>
      <w:r w:rsidR="001129EC" w:rsidRPr="00807DF8">
        <w:rPr>
          <w:rFonts w:ascii="Arial" w:hAnsi="Arial" w:cs="Arial"/>
          <w:sz w:val="32"/>
          <w:szCs w:val="32"/>
        </w:rPr>
        <w:t xml:space="preserve"> </w:t>
      </w:r>
      <w:r w:rsidRPr="00807DF8">
        <w:rPr>
          <w:rFonts w:ascii="Arial" w:hAnsi="Arial" w:cs="Arial"/>
          <w:sz w:val="32"/>
          <w:szCs w:val="32"/>
        </w:rPr>
        <w:t>serviço integrado ao contrato da PPP da iluminação ou sob uma contratação própria em separado.</w:t>
      </w:r>
    </w:p>
    <w:p w14:paraId="3B941146" w14:textId="77777777" w:rsidR="00664962" w:rsidRPr="00807DF8" w:rsidRDefault="00664962" w:rsidP="00664962">
      <w:pPr>
        <w:jc w:val="both"/>
        <w:rPr>
          <w:rFonts w:ascii="Arial" w:hAnsi="Arial" w:cs="Arial"/>
          <w:sz w:val="32"/>
          <w:szCs w:val="32"/>
        </w:rPr>
      </w:pPr>
      <w:r w:rsidRPr="00807DF8">
        <w:rPr>
          <w:rFonts w:ascii="Arial" w:hAnsi="Arial" w:cs="Arial"/>
          <w:sz w:val="32"/>
          <w:szCs w:val="32"/>
        </w:rPr>
        <w:tab/>
        <w:t>A contraprestação não é tudo que importa para se avaliar os aspectos econômicos de um ou outro modelo contratual. O valor que um modelo ou outro agrega ao Município não se mostra apenas no quanto ele menos consumirá de sua respectiva dotação orçamentária, mas algo muito mais amplo.</w:t>
      </w:r>
    </w:p>
    <w:p w14:paraId="3A679008" w14:textId="77777777" w:rsidR="00664962" w:rsidRPr="00807DF8" w:rsidRDefault="00664962" w:rsidP="00664962">
      <w:pPr>
        <w:jc w:val="both"/>
        <w:rPr>
          <w:rFonts w:ascii="Arial" w:hAnsi="Arial" w:cs="Arial"/>
          <w:sz w:val="32"/>
          <w:szCs w:val="32"/>
        </w:rPr>
      </w:pPr>
      <w:r w:rsidRPr="00807DF8">
        <w:rPr>
          <w:rFonts w:ascii="Arial" w:hAnsi="Arial" w:cs="Arial"/>
          <w:sz w:val="32"/>
          <w:szCs w:val="32"/>
        </w:rPr>
        <w:tab/>
        <w:t xml:space="preserve">Em primeiro lugar, os modelos contratuais aqui avaliados possuem impactos completamente distintos em outras rubricas orçamentárias. Há de se avaliar, por exemplo, qual é o custo de fiscalização de um contrato ou de outro. Esse custo é perceptível de forma tátil pelo administrador público. É o custo de deslocar um efetivo da CET toda vez que um semáforo </w:t>
      </w:r>
      <w:r w:rsidR="001129EC" w:rsidRPr="00807DF8">
        <w:rPr>
          <w:rFonts w:ascii="Arial" w:hAnsi="Arial" w:cs="Arial"/>
          <w:sz w:val="32"/>
          <w:szCs w:val="32"/>
        </w:rPr>
        <w:t>apresenta</w:t>
      </w:r>
      <w:r w:rsidRPr="00807DF8">
        <w:rPr>
          <w:rFonts w:ascii="Arial" w:hAnsi="Arial" w:cs="Arial"/>
          <w:sz w:val="32"/>
          <w:szCs w:val="32"/>
        </w:rPr>
        <w:t xml:space="preserve"> problema</w:t>
      </w:r>
      <w:r w:rsidR="001129EC" w:rsidRPr="00807DF8">
        <w:rPr>
          <w:rFonts w:ascii="Arial" w:hAnsi="Arial" w:cs="Arial"/>
          <w:sz w:val="32"/>
          <w:szCs w:val="32"/>
        </w:rPr>
        <w:t xml:space="preserve">; </w:t>
      </w:r>
      <w:r w:rsidRPr="00807DF8">
        <w:rPr>
          <w:rFonts w:ascii="Arial" w:hAnsi="Arial" w:cs="Arial"/>
          <w:sz w:val="32"/>
          <w:szCs w:val="32"/>
        </w:rPr>
        <w:t>é o custo em coordenar o trânsito nesse período</w:t>
      </w:r>
      <w:r w:rsidR="001129EC" w:rsidRPr="00807DF8">
        <w:rPr>
          <w:rFonts w:ascii="Arial" w:hAnsi="Arial" w:cs="Arial"/>
          <w:sz w:val="32"/>
          <w:szCs w:val="32"/>
        </w:rPr>
        <w:t>;</w:t>
      </w:r>
      <w:r w:rsidRPr="00807DF8">
        <w:rPr>
          <w:rFonts w:ascii="Arial" w:hAnsi="Arial" w:cs="Arial"/>
          <w:sz w:val="32"/>
          <w:szCs w:val="32"/>
        </w:rPr>
        <w:t xml:space="preserve"> o custo de sustentar as viaturas para deslocar essas equipes etc. Isso tudo onera o orçamento. Será que a integração dessa fiscalização com a própria fiscalização da iluminação pública não desoneraria esses gastos?</w:t>
      </w:r>
    </w:p>
    <w:p w14:paraId="320D686F" w14:textId="77777777" w:rsidR="00664962" w:rsidRPr="00807DF8" w:rsidRDefault="00664962" w:rsidP="00664962">
      <w:pPr>
        <w:jc w:val="both"/>
        <w:rPr>
          <w:rFonts w:ascii="Arial" w:hAnsi="Arial" w:cs="Arial"/>
          <w:sz w:val="32"/>
          <w:szCs w:val="32"/>
        </w:rPr>
      </w:pPr>
      <w:r w:rsidRPr="00807DF8">
        <w:rPr>
          <w:rFonts w:ascii="Arial" w:hAnsi="Arial" w:cs="Arial"/>
          <w:sz w:val="32"/>
          <w:szCs w:val="32"/>
        </w:rPr>
        <w:tab/>
        <w:t>No entanto, mais importante do que avaliar esses custos que extrapolam a rubrica contratual, é avaliar o custo que cada modelo de contrato tem para a própria cidade de São Paulo, para seus munícipes, para suas empresas, para sua atividade econômica.</w:t>
      </w:r>
    </w:p>
    <w:p w14:paraId="476C48E2" w14:textId="1E5D0DCA" w:rsidR="00664962" w:rsidRPr="00807DF8" w:rsidRDefault="00664962" w:rsidP="00664962">
      <w:pPr>
        <w:jc w:val="both"/>
        <w:rPr>
          <w:rFonts w:ascii="Arial" w:hAnsi="Arial" w:cs="Arial"/>
          <w:sz w:val="32"/>
          <w:szCs w:val="32"/>
        </w:rPr>
      </w:pPr>
      <w:r w:rsidRPr="00807DF8">
        <w:rPr>
          <w:rFonts w:ascii="Arial" w:hAnsi="Arial" w:cs="Arial"/>
          <w:sz w:val="32"/>
          <w:szCs w:val="32"/>
        </w:rPr>
        <w:tab/>
        <w:t xml:space="preserve">É famosa a expressão de que </w:t>
      </w:r>
      <w:r w:rsidR="0055611E">
        <w:rPr>
          <w:rFonts w:ascii="Arial" w:hAnsi="Arial" w:cs="Arial"/>
          <w:sz w:val="32"/>
          <w:szCs w:val="32"/>
        </w:rPr>
        <w:t>“</w:t>
      </w:r>
      <w:r w:rsidRPr="00807DF8">
        <w:rPr>
          <w:rFonts w:ascii="Arial" w:hAnsi="Arial" w:cs="Arial"/>
          <w:sz w:val="32"/>
          <w:szCs w:val="32"/>
        </w:rPr>
        <w:t>São Paulo não para</w:t>
      </w:r>
      <w:r w:rsidR="0055611E">
        <w:rPr>
          <w:rFonts w:ascii="Arial" w:hAnsi="Arial" w:cs="Arial"/>
          <w:sz w:val="32"/>
          <w:szCs w:val="32"/>
        </w:rPr>
        <w:t>”</w:t>
      </w:r>
      <w:r w:rsidRPr="00807DF8">
        <w:rPr>
          <w:rFonts w:ascii="Arial" w:hAnsi="Arial" w:cs="Arial"/>
          <w:sz w:val="32"/>
          <w:szCs w:val="32"/>
        </w:rPr>
        <w:t>. Mas isso é uma meia verdade. São Paulo para</w:t>
      </w:r>
      <w:r w:rsidR="0055611E">
        <w:rPr>
          <w:rFonts w:ascii="Arial" w:hAnsi="Arial" w:cs="Arial"/>
          <w:sz w:val="32"/>
          <w:szCs w:val="32"/>
        </w:rPr>
        <w:t>,</w:t>
      </w:r>
      <w:r w:rsidRPr="00807DF8">
        <w:rPr>
          <w:rFonts w:ascii="Arial" w:hAnsi="Arial" w:cs="Arial"/>
          <w:sz w:val="32"/>
          <w:szCs w:val="32"/>
        </w:rPr>
        <w:t xml:space="preserve"> sim</w:t>
      </w:r>
      <w:r w:rsidR="0055611E">
        <w:rPr>
          <w:rFonts w:ascii="Arial" w:hAnsi="Arial" w:cs="Arial"/>
          <w:sz w:val="32"/>
          <w:szCs w:val="32"/>
        </w:rPr>
        <w:t>!</w:t>
      </w:r>
      <w:r w:rsidRPr="00807DF8">
        <w:rPr>
          <w:rFonts w:ascii="Arial" w:hAnsi="Arial" w:cs="Arial"/>
          <w:sz w:val="32"/>
          <w:szCs w:val="32"/>
        </w:rPr>
        <w:t xml:space="preserve"> </w:t>
      </w:r>
      <w:r w:rsidR="0055611E">
        <w:rPr>
          <w:rFonts w:ascii="Arial" w:hAnsi="Arial" w:cs="Arial"/>
          <w:sz w:val="32"/>
          <w:szCs w:val="32"/>
        </w:rPr>
        <w:t>E</w:t>
      </w:r>
      <w:r w:rsidRPr="00807DF8">
        <w:rPr>
          <w:rFonts w:ascii="Arial" w:hAnsi="Arial" w:cs="Arial"/>
          <w:sz w:val="32"/>
          <w:szCs w:val="32"/>
        </w:rPr>
        <w:t xml:space="preserve"> vem parando frequentemente com diversos problemas na </w:t>
      </w:r>
      <w:r w:rsidRPr="00807DF8">
        <w:rPr>
          <w:rFonts w:ascii="Arial" w:hAnsi="Arial" w:cs="Arial"/>
          <w:sz w:val="32"/>
          <w:szCs w:val="32"/>
        </w:rPr>
        <w:lastRenderedPageBreak/>
        <w:t xml:space="preserve">prestação do serviço semafórico. Com a interrupção desse serviço, ruas ficam por quilômetros congestionadas, o trânsito torna-se caótico, o fluxo de carros perde coordenação e é direcionado em um estado evidentemente subótimo. </w:t>
      </w:r>
    </w:p>
    <w:p w14:paraId="2034E8C9" w14:textId="77777777" w:rsidR="00664962" w:rsidRPr="00807DF8" w:rsidRDefault="00664962" w:rsidP="00664962">
      <w:pPr>
        <w:jc w:val="both"/>
        <w:rPr>
          <w:rFonts w:ascii="Arial" w:hAnsi="Arial" w:cs="Arial"/>
          <w:sz w:val="32"/>
          <w:szCs w:val="32"/>
        </w:rPr>
      </w:pPr>
      <w:r w:rsidRPr="00807DF8">
        <w:rPr>
          <w:rFonts w:ascii="Arial" w:hAnsi="Arial" w:cs="Arial"/>
          <w:sz w:val="32"/>
          <w:szCs w:val="32"/>
        </w:rPr>
        <w:tab/>
        <w:t>Não se deve subdimensionar esse problema de ponto de vista econômico. Nos dias em que os semáforos deixam de funcionar, diversos trabalhadores chegam tarde em seus locais de trabalho. Do ponto de vista microeconômico, são eles impactados diretamente no desconto em sua folha de salário. Já, do ponto de vista macroeconômico do Município, é este impactado no seu próprio Produto Interno Bruto. Uma hora de atraso é uma hora a menos de trabalho, uma hora a menos de produção, uma hora a menos de geração de serviços e mercadorias e até uma hora a menos de geração de tributos para custear os serviços públicos. Multipli</w:t>
      </w:r>
      <w:r w:rsidR="001129EC" w:rsidRPr="00807DF8">
        <w:rPr>
          <w:rFonts w:ascii="Arial" w:hAnsi="Arial" w:cs="Arial"/>
          <w:sz w:val="32"/>
          <w:szCs w:val="32"/>
        </w:rPr>
        <w:t>que</w:t>
      </w:r>
      <w:r w:rsidRPr="00807DF8">
        <w:rPr>
          <w:rFonts w:ascii="Arial" w:hAnsi="Arial" w:cs="Arial"/>
          <w:sz w:val="32"/>
          <w:szCs w:val="32"/>
        </w:rPr>
        <w:t>-se essa uma hora pelos diversos agentes econômicos que são afetados por uma má-gestão do serviço semafórico e pelas recorrentes vezes em que esse serviço se vê interrompido e tem-se o custo mais importante de um mau modelo contratual. Como em qualquer contratação, por vezes o barato sai caro.</w:t>
      </w:r>
    </w:p>
    <w:p w14:paraId="28D322F7" w14:textId="59DB32E4" w:rsidR="00664962" w:rsidRPr="00807DF8" w:rsidRDefault="00664962" w:rsidP="00664962">
      <w:pPr>
        <w:jc w:val="both"/>
        <w:rPr>
          <w:rFonts w:ascii="Arial" w:hAnsi="Arial" w:cs="Arial"/>
          <w:sz w:val="32"/>
          <w:szCs w:val="32"/>
        </w:rPr>
      </w:pPr>
      <w:r w:rsidRPr="00807DF8">
        <w:rPr>
          <w:rFonts w:ascii="Arial" w:hAnsi="Arial" w:cs="Arial"/>
          <w:sz w:val="32"/>
          <w:szCs w:val="32"/>
        </w:rPr>
        <w:tab/>
        <w:t>O direito contratual moderno tende cada vez para novas estruturas de contratos relacionais</w:t>
      </w:r>
      <w:r w:rsidR="002761A7">
        <w:rPr>
          <w:rFonts w:ascii="Arial" w:hAnsi="Arial" w:cs="Arial"/>
          <w:sz w:val="32"/>
          <w:szCs w:val="32"/>
        </w:rPr>
        <w:t>;</w:t>
      </w:r>
      <w:r w:rsidRPr="00807DF8">
        <w:rPr>
          <w:rFonts w:ascii="Arial" w:hAnsi="Arial" w:cs="Arial"/>
          <w:sz w:val="32"/>
          <w:szCs w:val="32"/>
        </w:rPr>
        <w:t xml:space="preserve"> são contratos de longo prazo que envolvem uma intri</w:t>
      </w:r>
      <w:r w:rsidR="001129EC" w:rsidRPr="00807DF8">
        <w:rPr>
          <w:rFonts w:ascii="Arial" w:hAnsi="Arial" w:cs="Arial"/>
          <w:sz w:val="32"/>
          <w:szCs w:val="32"/>
        </w:rPr>
        <w:t>nca</w:t>
      </w:r>
      <w:r w:rsidRPr="00807DF8">
        <w:rPr>
          <w:rFonts w:ascii="Arial" w:hAnsi="Arial" w:cs="Arial"/>
          <w:sz w:val="32"/>
          <w:szCs w:val="32"/>
        </w:rPr>
        <w:t>da relação entre as partes. No âmbito privado, esses contratos estão a meio caminho entre o contrato sinalagmático puro e contrato de sociedade.</w:t>
      </w:r>
    </w:p>
    <w:p w14:paraId="46F11D32" w14:textId="1F145A18" w:rsidR="00664962" w:rsidRPr="00807DF8" w:rsidRDefault="00664962" w:rsidP="00664962">
      <w:pPr>
        <w:jc w:val="both"/>
        <w:rPr>
          <w:rFonts w:ascii="Arial" w:hAnsi="Arial" w:cs="Arial"/>
          <w:sz w:val="32"/>
          <w:szCs w:val="32"/>
        </w:rPr>
      </w:pPr>
      <w:r w:rsidRPr="00807DF8">
        <w:rPr>
          <w:rFonts w:ascii="Arial" w:hAnsi="Arial" w:cs="Arial"/>
          <w:sz w:val="32"/>
          <w:szCs w:val="32"/>
        </w:rPr>
        <w:tab/>
        <w:t>Na delegação de serviços públicos, a</w:t>
      </w:r>
      <w:r w:rsidR="002761A7">
        <w:rPr>
          <w:rFonts w:ascii="Arial" w:hAnsi="Arial" w:cs="Arial"/>
          <w:sz w:val="32"/>
          <w:szCs w:val="32"/>
        </w:rPr>
        <w:t xml:space="preserve"> </w:t>
      </w:r>
      <w:r w:rsidRPr="00807DF8">
        <w:rPr>
          <w:rFonts w:ascii="Arial" w:hAnsi="Arial" w:cs="Arial"/>
          <w:sz w:val="32"/>
          <w:szCs w:val="32"/>
        </w:rPr>
        <w:t>Administração</w:t>
      </w:r>
      <w:r w:rsidR="002761A7">
        <w:rPr>
          <w:rFonts w:ascii="Arial" w:hAnsi="Arial" w:cs="Arial"/>
          <w:sz w:val="32"/>
          <w:szCs w:val="32"/>
        </w:rPr>
        <w:t xml:space="preserve"> </w:t>
      </w:r>
      <w:r w:rsidRPr="00807DF8">
        <w:rPr>
          <w:rFonts w:ascii="Arial" w:hAnsi="Arial" w:cs="Arial"/>
          <w:sz w:val="32"/>
          <w:szCs w:val="32"/>
        </w:rPr>
        <w:t>Pública se vê quase sempre ligada a um particular por um contrato relacional. É por isso, que é muito importante escolher um bom modelo para essa relação.</w:t>
      </w:r>
    </w:p>
    <w:p w14:paraId="2AF9DB3C" w14:textId="77777777" w:rsidR="00664962" w:rsidRPr="00807DF8" w:rsidRDefault="00664962" w:rsidP="00664962">
      <w:pPr>
        <w:jc w:val="both"/>
        <w:rPr>
          <w:rFonts w:ascii="Arial" w:hAnsi="Arial" w:cs="Arial"/>
          <w:sz w:val="32"/>
          <w:szCs w:val="32"/>
        </w:rPr>
      </w:pPr>
      <w:r w:rsidRPr="00807DF8">
        <w:rPr>
          <w:rFonts w:ascii="Arial" w:hAnsi="Arial" w:cs="Arial"/>
          <w:sz w:val="32"/>
          <w:szCs w:val="32"/>
        </w:rPr>
        <w:lastRenderedPageBreak/>
        <w:tab/>
        <w:t>No presente caso, apresentam-se dois modelos disponíveis. De um lado, tem-se a possibilidade de realização de um contrato específico para o serviço semafórico. De outro lado, tem-se a possiblidade de integrar esse serviço a um contrato de PPP.</w:t>
      </w:r>
    </w:p>
    <w:p w14:paraId="4E5C5EFE" w14:textId="2D2E5A89" w:rsidR="00467824" w:rsidRPr="00807DF8" w:rsidRDefault="00664962" w:rsidP="00467824">
      <w:pPr>
        <w:jc w:val="both"/>
        <w:rPr>
          <w:rFonts w:ascii="Arial" w:hAnsi="Arial" w:cs="Arial"/>
          <w:sz w:val="32"/>
          <w:szCs w:val="32"/>
        </w:rPr>
      </w:pPr>
      <w:r w:rsidRPr="00807DF8">
        <w:rPr>
          <w:rFonts w:ascii="Arial" w:hAnsi="Arial" w:cs="Arial"/>
          <w:sz w:val="32"/>
          <w:szCs w:val="32"/>
        </w:rPr>
        <w:tab/>
      </w:r>
      <w:r w:rsidR="00593F94" w:rsidRPr="00807DF8">
        <w:rPr>
          <w:rFonts w:ascii="Arial" w:hAnsi="Arial" w:cs="Arial"/>
          <w:sz w:val="32"/>
          <w:szCs w:val="32"/>
        </w:rPr>
        <w:t>Como já dito em outro trecho deste voto, é</w:t>
      </w:r>
      <w:r w:rsidRPr="00807DF8">
        <w:rPr>
          <w:rFonts w:ascii="Arial" w:hAnsi="Arial" w:cs="Arial"/>
          <w:sz w:val="32"/>
          <w:szCs w:val="32"/>
        </w:rPr>
        <w:t xml:space="preserve"> fundamental </w:t>
      </w:r>
      <w:r w:rsidR="00467824" w:rsidRPr="00807DF8">
        <w:rPr>
          <w:rFonts w:ascii="Arial" w:hAnsi="Arial" w:cs="Arial"/>
          <w:sz w:val="32"/>
          <w:szCs w:val="32"/>
        </w:rPr>
        <w:t>constatar que o Aditivo contratual se dá em um contrato cujo critério de contratação foi definido observando-se as regras da PPP em curso, resultante de um procedimento licitatório. Tanto é assim, que à contratada na não cabe negociar preço</w:t>
      </w:r>
      <w:r w:rsidR="00500AB0">
        <w:rPr>
          <w:rFonts w:ascii="Arial" w:hAnsi="Arial" w:cs="Arial"/>
          <w:sz w:val="32"/>
          <w:szCs w:val="32"/>
        </w:rPr>
        <w:t>,</w:t>
      </w:r>
      <w:r w:rsidR="00467824" w:rsidRPr="00807DF8">
        <w:rPr>
          <w:rFonts w:ascii="Arial" w:hAnsi="Arial" w:cs="Arial"/>
          <w:sz w:val="32"/>
          <w:szCs w:val="32"/>
        </w:rPr>
        <w:t xml:space="preserve"> mas apenas aceitar a imposição de ampliação do objeto pelos poderes exorbitantes da Administração Pública. Desta forma, nas justificativas da administração se infere a possibilidade de que o valor pago pelo Município será o valor atingido no mercado licitatório.</w:t>
      </w:r>
    </w:p>
    <w:p w14:paraId="48B51A14" w14:textId="5723AB1F" w:rsidR="00664962" w:rsidRPr="00807DF8" w:rsidRDefault="00664962" w:rsidP="00664962">
      <w:pPr>
        <w:jc w:val="both"/>
        <w:rPr>
          <w:rFonts w:ascii="Arial" w:hAnsi="Arial" w:cs="Arial"/>
          <w:sz w:val="32"/>
          <w:szCs w:val="32"/>
        </w:rPr>
      </w:pPr>
      <w:r w:rsidRPr="00807DF8">
        <w:rPr>
          <w:rFonts w:ascii="Arial" w:hAnsi="Arial" w:cs="Arial"/>
          <w:sz w:val="32"/>
          <w:szCs w:val="32"/>
        </w:rPr>
        <w:tab/>
        <w:t xml:space="preserve">Há um risco, obviamente, como em qualquer decisão, </w:t>
      </w:r>
      <w:r w:rsidR="00500AB0" w:rsidRPr="0033486F">
        <w:rPr>
          <w:rFonts w:ascii="Arial" w:hAnsi="Arial" w:cs="Arial"/>
          <w:sz w:val="32"/>
          <w:szCs w:val="32"/>
        </w:rPr>
        <w:t xml:space="preserve">ao </w:t>
      </w:r>
      <w:r w:rsidRPr="0033486F">
        <w:rPr>
          <w:rFonts w:ascii="Arial" w:hAnsi="Arial" w:cs="Arial"/>
          <w:sz w:val="32"/>
          <w:szCs w:val="32"/>
        </w:rPr>
        <w:t xml:space="preserve">setor público ou </w:t>
      </w:r>
      <w:r w:rsidR="00500AB0" w:rsidRPr="0033486F">
        <w:rPr>
          <w:rFonts w:ascii="Arial" w:hAnsi="Arial" w:cs="Arial"/>
          <w:sz w:val="32"/>
          <w:szCs w:val="32"/>
        </w:rPr>
        <w:t>ao</w:t>
      </w:r>
      <w:r w:rsidRPr="0033486F">
        <w:rPr>
          <w:rFonts w:ascii="Arial" w:hAnsi="Arial" w:cs="Arial"/>
          <w:sz w:val="32"/>
          <w:szCs w:val="32"/>
        </w:rPr>
        <w:t xml:space="preserve"> </w:t>
      </w:r>
      <w:r w:rsidRPr="00807DF8">
        <w:rPr>
          <w:rFonts w:ascii="Arial" w:hAnsi="Arial" w:cs="Arial"/>
          <w:sz w:val="32"/>
          <w:szCs w:val="32"/>
        </w:rPr>
        <w:t xml:space="preserve">setor privado. Mas mesmo ao se arriscar, o Direito Público protege a Administração. Todos nós conhecemos que o poder concedente pode sempre vir a intervir </w:t>
      </w:r>
      <w:r w:rsidR="00E947E4">
        <w:rPr>
          <w:rFonts w:ascii="Arial" w:hAnsi="Arial" w:cs="Arial"/>
          <w:sz w:val="32"/>
          <w:szCs w:val="32"/>
        </w:rPr>
        <w:t>n</w:t>
      </w:r>
      <w:r w:rsidRPr="00807DF8">
        <w:rPr>
          <w:rFonts w:ascii="Arial" w:hAnsi="Arial" w:cs="Arial"/>
          <w:sz w:val="32"/>
          <w:szCs w:val="32"/>
        </w:rPr>
        <w:t xml:space="preserve">uma concessão, realizar sua encampação ou mesmo extinguir o contrato por caducidade, na forma prevista na Lei n. 8.987/95. Dessa forma, essa será sempre uma decisão que poderá ser refeita. </w:t>
      </w:r>
    </w:p>
    <w:p w14:paraId="7178A383" w14:textId="77777777" w:rsidR="0007615C" w:rsidRDefault="0007615C" w:rsidP="001345D8">
      <w:pPr>
        <w:jc w:val="center"/>
        <w:rPr>
          <w:rFonts w:ascii="Arial" w:hAnsi="Arial" w:cs="Arial"/>
          <w:b/>
          <w:sz w:val="32"/>
          <w:szCs w:val="32"/>
          <w:u w:val="single"/>
        </w:rPr>
      </w:pPr>
    </w:p>
    <w:p w14:paraId="119085CB" w14:textId="77777777" w:rsidR="0007615C" w:rsidRDefault="0007615C" w:rsidP="001345D8">
      <w:pPr>
        <w:jc w:val="center"/>
        <w:rPr>
          <w:rFonts w:ascii="Arial" w:hAnsi="Arial" w:cs="Arial"/>
          <w:b/>
          <w:sz w:val="32"/>
          <w:szCs w:val="32"/>
          <w:u w:val="single"/>
        </w:rPr>
      </w:pPr>
    </w:p>
    <w:p w14:paraId="66B64901" w14:textId="3C25CF5A" w:rsidR="001345D8" w:rsidRPr="00807DF8" w:rsidRDefault="001345D8" w:rsidP="001345D8">
      <w:pPr>
        <w:jc w:val="center"/>
        <w:rPr>
          <w:rFonts w:ascii="Arial" w:hAnsi="Arial" w:cs="Arial"/>
          <w:b/>
          <w:sz w:val="32"/>
          <w:szCs w:val="32"/>
          <w:u w:val="single"/>
        </w:rPr>
      </w:pPr>
      <w:r w:rsidRPr="00807DF8">
        <w:rPr>
          <w:rFonts w:ascii="Arial" w:hAnsi="Arial" w:cs="Arial"/>
          <w:b/>
          <w:sz w:val="32"/>
          <w:szCs w:val="32"/>
          <w:u w:val="single"/>
        </w:rPr>
        <w:t>Dispositivo</w:t>
      </w:r>
    </w:p>
    <w:p w14:paraId="7A1BA019" w14:textId="77777777" w:rsidR="001345D8" w:rsidRPr="00807DF8" w:rsidRDefault="001345D8" w:rsidP="001345D8">
      <w:pPr>
        <w:jc w:val="both"/>
        <w:rPr>
          <w:rFonts w:ascii="Arial" w:hAnsi="Arial" w:cs="Arial"/>
          <w:sz w:val="32"/>
          <w:szCs w:val="32"/>
        </w:rPr>
      </w:pPr>
    </w:p>
    <w:p w14:paraId="10D9DF23" w14:textId="7E3808DC" w:rsidR="001345D8" w:rsidRPr="00807DF8" w:rsidRDefault="001345D8" w:rsidP="00345ADF">
      <w:pPr>
        <w:ind w:firstLine="708"/>
        <w:jc w:val="both"/>
        <w:rPr>
          <w:rFonts w:ascii="Arial" w:hAnsi="Arial" w:cs="Arial"/>
          <w:sz w:val="32"/>
          <w:szCs w:val="32"/>
        </w:rPr>
      </w:pPr>
      <w:r w:rsidRPr="00807DF8">
        <w:rPr>
          <w:rFonts w:ascii="Arial" w:hAnsi="Arial" w:cs="Arial"/>
          <w:sz w:val="32"/>
          <w:szCs w:val="32"/>
        </w:rPr>
        <w:t xml:space="preserve">Por todo o exposto, entendo que os elementos que constam dos autos conduzem à conclusão pela possibilidade de incorporação dos serviços de modernização e manutenção do parque semafórico à PPP da Iluminação Pública, tendo em vista terem </w:t>
      </w:r>
      <w:r w:rsidR="00F54C0E" w:rsidRPr="00807DF8">
        <w:rPr>
          <w:rFonts w:ascii="Arial" w:hAnsi="Arial" w:cs="Arial"/>
          <w:sz w:val="32"/>
          <w:szCs w:val="32"/>
        </w:rPr>
        <w:t>sido</w:t>
      </w:r>
      <w:r w:rsidRPr="00807DF8">
        <w:rPr>
          <w:rFonts w:ascii="Arial" w:hAnsi="Arial" w:cs="Arial"/>
          <w:sz w:val="32"/>
          <w:szCs w:val="32"/>
        </w:rPr>
        <w:t xml:space="preserve"> atendidos </w:t>
      </w:r>
      <w:r w:rsidRPr="00807DF8">
        <w:rPr>
          <w:rFonts w:ascii="Arial" w:hAnsi="Arial" w:cs="Arial"/>
          <w:sz w:val="32"/>
          <w:szCs w:val="32"/>
        </w:rPr>
        <w:lastRenderedPageBreak/>
        <w:t xml:space="preserve">os requisitos </w:t>
      </w:r>
      <w:r w:rsidR="008B7E4B">
        <w:rPr>
          <w:rFonts w:ascii="Arial" w:hAnsi="Arial" w:cs="Arial"/>
          <w:sz w:val="32"/>
          <w:szCs w:val="32"/>
        </w:rPr>
        <w:t>postos no ordenamento jurídico</w:t>
      </w:r>
      <w:r w:rsidR="00454352">
        <w:rPr>
          <w:rFonts w:ascii="Arial" w:hAnsi="Arial" w:cs="Arial"/>
          <w:sz w:val="32"/>
          <w:szCs w:val="32"/>
        </w:rPr>
        <w:t xml:space="preserve"> que</w:t>
      </w:r>
      <w:r w:rsidR="008B7E4B">
        <w:rPr>
          <w:rFonts w:ascii="Arial" w:hAnsi="Arial" w:cs="Arial"/>
          <w:sz w:val="32"/>
          <w:szCs w:val="32"/>
        </w:rPr>
        <w:t xml:space="preserve"> </w:t>
      </w:r>
      <w:r w:rsidRPr="00807DF8">
        <w:rPr>
          <w:rFonts w:ascii="Arial" w:hAnsi="Arial" w:cs="Arial"/>
          <w:sz w:val="32"/>
          <w:szCs w:val="32"/>
        </w:rPr>
        <w:t>autorizam a extensão contratual nos termos pretendido</w:t>
      </w:r>
      <w:r w:rsidR="00454352">
        <w:rPr>
          <w:rFonts w:ascii="Arial" w:hAnsi="Arial" w:cs="Arial"/>
          <w:sz w:val="32"/>
          <w:szCs w:val="32"/>
        </w:rPr>
        <w:t>s</w:t>
      </w:r>
      <w:r w:rsidRPr="00807DF8">
        <w:rPr>
          <w:rFonts w:ascii="Arial" w:hAnsi="Arial" w:cs="Arial"/>
          <w:sz w:val="32"/>
          <w:szCs w:val="32"/>
        </w:rPr>
        <w:t xml:space="preserve"> pela Administração.</w:t>
      </w:r>
    </w:p>
    <w:p w14:paraId="11520587" w14:textId="3059025C" w:rsidR="001345D8" w:rsidRPr="00807DF8" w:rsidRDefault="001345D8" w:rsidP="00345ADF">
      <w:pPr>
        <w:ind w:firstLine="360"/>
        <w:jc w:val="both"/>
        <w:rPr>
          <w:rFonts w:ascii="Arial" w:hAnsi="Arial" w:cs="Arial"/>
          <w:sz w:val="32"/>
          <w:szCs w:val="32"/>
        </w:rPr>
      </w:pPr>
      <w:r w:rsidRPr="00807DF8">
        <w:rPr>
          <w:rFonts w:ascii="Arial" w:hAnsi="Arial" w:cs="Arial"/>
          <w:sz w:val="32"/>
          <w:szCs w:val="32"/>
        </w:rPr>
        <w:t xml:space="preserve">Dessa forma, conheço para fins de registro </w:t>
      </w:r>
      <w:r w:rsidR="008B7E4B">
        <w:rPr>
          <w:rFonts w:ascii="Arial" w:hAnsi="Arial" w:cs="Arial"/>
          <w:sz w:val="32"/>
          <w:szCs w:val="32"/>
        </w:rPr>
        <w:t>d</w:t>
      </w:r>
      <w:r w:rsidRPr="00807DF8">
        <w:rPr>
          <w:rFonts w:ascii="Arial" w:hAnsi="Arial" w:cs="Arial"/>
          <w:sz w:val="32"/>
          <w:szCs w:val="32"/>
        </w:rPr>
        <w:t>a Inspeção tratada nestes autos</w:t>
      </w:r>
      <w:r w:rsidR="008B7E4B">
        <w:rPr>
          <w:rFonts w:ascii="Arial" w:hAnsi="Arial" w:cs="Arial"/>
          <w:sz w:val="32"/>
          <w:szCs w:val="32"/>
        </w:rPr>
        <w:t xml:space="preserve"> e faço as seguintes determinações</w:t>
      </w:r>
      <w:r w:rsidRPr="00807DF8">
        <w:rPr>
          <w:rFonts w:ascii="Arial" w:hAnsi="Arial" w:cs="Arial"/>
          <w:sz w:val="32"/>
          <w:szCs w:val="32"/>
        </w:rPr>
        <w:t>:</w:t>
      </w:r>
    </w:p>
    <w:p w14:paraId="12AACE48" w14:textId="7FA1CB78" w:rsidR="001345D8" w:rsidRPr="00807DF8" w:rsidRDefault="001345D8" w:rsidP="001345D8">
      <w:pPr>
        <w:pStyle w:val="PargrafodaLista"/>
        <w:numPr>
          <w:ilvl w:val="0"/>
          <w:numId w:val="5"/>
        </w:numPr>
        <w:jc w:val="both"/>
        <w:rPr>
          <w:rFonts w:ascii="Arial" w:hAnsi="Arial" w:cs="Arial"/>
          <w:sz w:val="32"/>
          <w:szCs w:val="32"/>
        </w:rPr>
      </w:pPr>
      <w:r w:rsidRPr="00807DF8">
        <w:rPr>
          <w:rFonts w:ascii="Arial" w:hAnsi="Arial" w:cs="Arial"/>
          <w:sz w:val="32"/>
          <w:szCs w:val="32"/>
        </w:rPr>
        <w:t>Com a finalidade de assegurar o aperfeiçoamento contínuo dos serviços semafórico</w:t>
      </w:r>
      <w:r w:rsidR="00965A2B">
        <w:rPr>
          <w:rFonts w:ascii="Arial" w:hAnsi="Arial" w:cs="Arial"/>
          <w:sz w:val="32"/>
          <w:szCs w:val="32"/>
        </w:rPr>
        <w:t>s</w:t>
      </w:r>
      <w:r w:rsidRPr="00807DF8">
        <w:rPr>
          <w:rFonts w:ascii="Arial" w:hAnsi="Arial" w:cs="Arial"/>
          <w:sz w:val="32"/>
          <w:szCs w:val="32"/>
        </w:rPr>
        <w:t xml:space="preserve"> na cidade, considerando inclusive a existência de encargo contratual quanto à necessidade de reinvestimentos por parte do parceiro privado, de forma a permitir a modernização contínua dos serviços, implicando, inclusive, na obrigação  de adoção de inovações tecnológicas que surgirem ao longo da contratação,  DETERMINO à Origem que, a cada 5 anos, apresente a este Tribunal comunicado evidenciando o panorama da modernização, os valores aplicados pelo concessionário a título de reinvestimento e os desafios futuros a serem implementados por meio dos serviços que serão contratados pela Municipalidade.</w:t>
      </w:r>
    </w:p>
    <w:p w14:paraId="3DB86983" w14:textId="5B15B86C" w:rsidR="001345D8" w:rsidRPr="00807DF8" w:rsidRDefault="001345D8" w:rsidP="001345D8">
      <w:pPr>
        <w:pStyle w:val="PargrafodaLista"/>
        <w:numPr>
          <w:ilvl w:val="0"/>
          <w:numId w:val="5"/>
        </w:numPr>
        <w:jc w:val="both"/>
        <w:rPr>
          <w:rFonts w:ascii="Arial" w:hAnsi="Arial" w:cs="Arial"/>
          <w:sz w:val="32"/>
          <w:szCs w:val="32"/>
        </w:rPr>
      </w:pPr>
      <w:r w:rsidRPr="00807DF8">
        <w:rPr>
          <w:rFonts w:ascii="Arial" w:hAnsi="Arial" w:cs="Arial"/>
          <w:sz w:val="32"/>
          <w:szCs w:val="32"/>
        </w:rPr>
        <w:t xml:space="preserve">Determino também que a Administração apresente </w:t>
      </w:r>
      <w:r w:rsidR="00F54C0E" w:rsidRPr="00807DF8">
        <w:rPr>
          <w:rFonts w:ascii="Arial" w:hAnsi="Arial" w:cs="Arial"/>
          <w:sz w:val="32"/>
          <w:szCs w:val="32"/>
        </w:rPr>
        <w:t>anualmente</w:t>
      </w:r>
      <w:r w:rsidRPr="00807DF8">
        <w:rPr>
          <w:rFonts w:ascii="Arial" w:hAnsi="Arial" w:cs="Arial"/>
          <w:sz w:val="32"/>
          <w:szCs w:val="32"/>
        </w:rPr>
        <w:t xml:space="preserve"> a esta Corte de Contas estudos e as medidas concretas que estão sendo implementadas acerca da gestão conjunta dos serviços semafóricos e de Iluminação para fins de incorporação de inovações tecnológicas na gestão integrada destes serviços com a utilização das premissas próprias do conceito de cidades inteligentes (</w:t>
      </w:r>
      <w:r w:rsidR="00965A2B">
        <w:rPr>
          <w:rFonts w:ascii="Arial" w:hAnsi="Arial" w:cs="Arial"/>
          <w:sz w:val="32"/>
          <w:szCs w:val="32"/>
        </w:rPr>
        <w:t>S</w:t>
      </w:r>
      <w:r w:rsidRPr="00807DF8">
        <w:rPr>
          <w:rFonts w:ascii="Arial" w:hAnsi="Arial" w:cs="Arial"/>
          <w:sz w:val="32"/>
          <w:szCs w:val="32"/>
        </w:rPr>
        <w:t xml:space="preserve">mart </w:t>
      </w:r>
      <w:r w:rsidR="00965A2B">
        <w:rPr>
          <w:rFonts w:ascii="Arial" w:hAnsi="Arial" w:cs="Arial"/>
          <w:sz w:val="32"/>
          <w:szCs w:val="32"/>
        </w:rPr>
        <w:t>C</w:t>
      </w:r>
      <w:r w:rsidRPr="00807DF8">
        <w:rPr>
          <w:rFonts w:ascii="Arial" w:hAnsi="Arial" w:cs="Arial"/>
          <w:sz w:val="32"/>
          <w:szCs w:val="32"/>
        </w:rPr>
        <w:t>ities).</w:t>
      </w:r>
    </w:p>
    <w:p w14:paraId="66B499C2" w14:textId="53973D68" w:rsidR="001345D8" w:rsidRPr="00807DF8" w:rsidRDefault="001345D8" w:rsidP="001345D8">
      <w:pPr>
        <w:pStyle w:val="PargrafodaLista"/>
        <w:numPr>
          <w:ilvl w:val="0"/>
          <w:numId w:val="5"/>
        </w:numPr>
        <w:jc w:val="both"/>
        <w:rPr>
          <w:rFonts w:ascii="Arial" w:hAnsi="Arial" w:cs="Arial"/>
          <w:sz w:val="32"/>
          <w:szCs w:val="32"/>
        </w:rPr>
      </w:pPr>
      <w:r w:rsidRPr="00807DF8">
        <w:rPr>
          <w:rFonts w:ascii="Arial" w:hAnsi="Arial" w:cs="Arial"/>
          <w:sz w:val="32"/>
          <w:szCs w:val="32"/>
        </w:rPr>
        <w:t xml:space="preserve">Determino à Auditoria desta Corte que </w:t>
      </w:r>
      <w:r w:rsidR="00353BC0" w:rsidRPr="00807DF8">
        <w:rPr>
          <w:rFonts w:ascii="Arial" w:hAnsi="Arial" w:cs="Arial"/>
          <w:sz w:val="32"/>
          <w:szCs w:val="32"/>
        </w:rPr>
        <w:t>incorpore à fiscalização do Contrato nº 003/SMSP/2018</w:t>
      </w:r>
      <w:r w:rsidR="00B24295">
        <w:rPr>
          <w:rFonts w:ascii="Arial" w:hAnsi="Arial" w:cs="Arial"/>
          <w:sz w:val="32"/>
          <w:szCs w:val="32"/>
        </w:rPr>
        <w:t xml:space="preserve"> o </w:t>
      </w:r>
      <w:r w:rsidR="00965A2B">
        <w:rPr>
          <w:rFonts w:ascii="Arial" w:hAnsi="Arial" w:cs="Arial"/>
          <w:sz w:val="32"/>
          <w:szCs w:val="32"/>
        </w:rPr>
        <w:t>A</w:t>
      </w:r>
      <w:r w:rsidR="00B24295">
        <w:rPr>
          <w:rFonts w:ascii="Arial" w:hAnsi="Arial" w:cs="Arial"/>
          <w:sz w:val="32"/>
          <w:szCs w:val="32"/>
        </w:rPr>
        <w:t>ditivo que será celebrado, por meio da instauração de procedimento de fiscalização específico</w:t>
      </w:r>
      <w:r w:rsidRPr="00807DF8">
        <w:rPr>
          <w:rFonts w:ascii="Arial" w:hAnsi="Arial" w:cs="Arial"/>
          <w:sz w:val="32"/>
          <w:szCs w:val="32"/>
        </w:rPr>
        <w:t xml:space="preserve">. </w:t>
      </w:r>
    </w:p>
    <w:p w14:paraId="397B9925" w14:textId="03E500B3" w:rsidR="00353BC0" w:rsidRPr="00807DF8" w:rsidRDefault="00353BC0" w:rsidP="00353BC0">
      <w:pPr>
        <w:pStyle w:val="PargrafodaLista"/>
        <w:numPr>
          <w:ilvl w:val="0"/>
          <w:numId w:val="5"/>
        </w:numPr>
        <w:jc w:val="both"/>
        <w:rPr>
          <w:rFonts w:ascii="Arial" w:hAnsi="Arial" w:cs="Arial"/>
          <w:sz w:val="32"/>
          <w:szCs w:val="32"/>
        </w:rPr>
      </w:pPr>
      <w:r w:rsidRPr="00807DF8">
        <w:rPr>
          <w:rFonts w:ascii="Arial" w:hAnsi="Arial" w:cs="Arial"/>
          <w:sz w:val="32"/>
          <w:szCs w:val="32"/>
        </w:rPr>
        <w:t>Determino</w:t>
      </w:r>
      <w:r w:rsidR="00443022">
        <w:rPr>
          <w:rFonts w:ascii="Arial" w:hAnsi="Arial" w:cs="Arial"/>
          <w:sz w:val="32"/>
          <w:szCs w:val="32"/>
        </w:rPr>
        <w:t xml:space="preserve"> </w:t>
      </w:r>
      <w:r w:rsidR="00443022" w:rsidRPr="00807DF8">
        <w:rPr>
          <w:rFonts w:ascii="Arial" w:hAnsi="Arial" w:cs="Arial"/>
          <w:sz w:val="32"/>
          <w:szCs w:val="32"/>
        </w:rPr>
        <w:t>à Auditoria</w:t>
      </w:r>
      <w:r w:rsidR="00D247ED">
        <w:rPr>
          <w:rFonts w:ascii="Arial" w:hAnsi="Arial" w:cs="Arial"/>
          <w:sz w:val="32"/>
          <w:szCs w:val="32"/>
        </w:rPr>
        <w:t xml:space="preserve">, ainda, </w:t>
      </w:r>
      <w:r w:rsidRPr="00807DF8">
        <w:rPr>
          <w:rFonts w:ascii="Arial" w:hAnsi="Arial" w:cs="Arial"/>
          <w:sz w:val="32"/>
          <w:szCs w:val="32"/>
        </w:rPr>
        <w:t>que durante os primeiros 12 mese</w:t>
      </w:r>
      <w:r w:rsidR="006C5F86">
        <w:rPr>
          <w:rFonts w:ascii="Arial" w:hAnsi="Arial" w:cs="Arial"/>
          <w:sz w:val="32"/>
          <w:szCs w:val="32"/>
        </w:rPr>
        <w:t xml:space="preserve">s da </w:t>
      </w:r>
      <w:r w:rsidR="00CE051E">
        <w:rPr>
          <w:rFonts w:ascii="Arial" w:hAnsi="Arial" w:cs="Arial"/>
          <w:sz w:val="32"/>
          <w:szCs w:val="32"/>
        </w:rPr>
        <w:t>execução do ajuste</w:t>
      </w:r>
      <w:r w:rsidRPr="00807DF8">
        <w:rPr>
          <w:rFonts w:ascii="Arial" w:hAnsi="Arial" w:cs="Arial"/>
          <w:sz w:val="32"/>
          <w:szCs w:val="32"/>
        </w:rPr>
        <w:t xml:space="preserve"> após </w:t>
      </w:r>
      <w:r w:rsidR="00715DEC">
        <w:rPr>
          <w:rFonts w:ascii="Arial" w:hAnsi="Arial" w:cs="Arial"/>
          <w:sz w:val="32"/>
          <w:szCs w:val="32"/>
        </w:rPr>
        <w:t>a fase de operação assistida</w:t>
      </w:r>
      <w:r w:rsidR="003232BF">
        <w:rPr>
          <w:rFonts w:ascii="Arial" w:hAnsi="Arial" w:cs="Arial"/>
          <w:sz w:val="32"/>
          <w:szCs w:val="32"/>
        </w:rPr>
        <w:t>,</w:t>
      </w:r>
      <w:r w:rsidRPr="00807DF8">
        <w:rPr>
          <w:rFonts w:ascii="Arial" w:hAnsi="Arial" w:cs="Arial"/>
          <w:i/>
          <w:sz w:val="32"/>
          <w:szCs w:val="32"/>
        </w:rPr>
        <w:t xml:space="preserve"> </w:t>
      </w:r>
      <w:r w:rsidRPr="00807DF8">
        <w:rPr>
          <w:rFonts w:ascii="Arial" w:hAnsi="Arial" w:cs="Arial"/>
          <w:sz w:val="32"/>
          <w:szCs w:val="32"/>
        </w:rPr>
        <w:t xml:space="preserve">realize </w:t>
      </w:r>
      <w:r w:rsidR="00B24295">
        <w:rPr>
          <w:rFonts w:ascii="Arial" w:hAnsi="Arial" w:cs="Arial"/>
          <w:sz w:val="32"/>
          <w:szCs w:val="32"/>
        </w:rPr>
        <w:t xml:space="preserve">inspeção para acompanhar </w:t>
      </w:r>
      <w:r w:rsidR="00B24295">
        <w:rPr>
          <w:rFonts w:ascii="Arial" w:hAnsi="Arial" w:cs="Arial"/>
          <w:sz w:val="32"/>
          <w:szCs w:val="32"/>
        </w:rPr>
        <w:lastRenderedPageBreak/>
        <w:t>a evolução do quadro de manutenção e modernização semafóric</w:t>
      </w:r>
      <w:r w:rsidR="00965A2B">
        <w:rPr>
          <w:rFonts w:ascii="Arial" w:hAnsi="Arial" w:cs="Arial"/>
          <w:sz w:val="32"/>
          <w:szCs w:val="32"/>
        </w:rPr>
        <w:t>a</w:t>
      </w:r>
      <w:r w:rsidR="00B24295">
        <w:rPr>
          <w:rFonts w:ascii="Arial" w:hAnsi="Arial" w:cs="Arial"/>
          <w:sz w:val="32"/>
          <w:szCs w:val="32"/>
        </w:rPr>
        <w:t>.</w:t>
      </w:r>
    </w:p>
    <w:p w14:paraId="55AEE8F9" w14:textId="77777777" w:rsidR="00353BC0" w:rsidRPr="00807DF8" w:rsidRDefault="00353BC0" w:rsidP="00353BC0">
      <w:pPr>
        <w:pStyle w:val="PargrafodaLista"/>
        <w:jc w:val="both"/>
        <w:rPr>
          <w:rFonts w:ascii="Arial" w:hAnsi="Arial" w:cs="Arial"/>
          <w:sz w:val="32"/>
          <w:szCs w:val="32"/>
          <w:highlight w:val="magenta"/>
        </w:rPr>
      </w:pPr>
    </w:p>
    <w:p w14:paraId="322C6BB4" w14:textId="77777777" w:rsidR="001345D8" w:rsidRPr="00807DF8" w:rsidRDefault="001345D8" w:rsidP="001345D8">
      <w:pPr>
        <w:jc w:val="both"/>
        <w:rPr>
          <w:rFonts w:ascii="Arial" w:hAnsi="Arial" w:cs="Arial"/>
          <w:sz w:val="32"/>
          <w:szCs w:val="32"/>
        </w:rPr>
      </w:pPr>
      <w:r w:rsidRPr="00807DF8">
        <w:rPr>
          <w:rFonts w:ascii="Arial" w:hAnsi="Arial" w:cs="Arial"/>
          <w:sz w:val="32"/>
          <w:szCs w:val="32"/>
        </w:rPr>
        <w:t>É como voto, Senhor Presidente</w:t>
      </w:r>
    </w:p>
    <w:p w14:paraId="6D2CAAA9" w14:textId="77777777" w:rsidR="001345D8" w:rsidRPr="00807DF8" w:rsidRDefault="001345D8" w:rsidP="001345D8">
      <w:pPr>
        <w:jc w:val="center"/>
        <w:rPr>
          <w:rFonts w:ascii="Arial" w:hAnsi="Arial" w:cs="Arial"/>
          <w:sz w:val="32"/>
          <w:szCs w:val="32"/>
        </w:rPr>
      </w:pPr>
    </w:p>
    <w:sectPr w:rsidR="001345D8" w:rsidRPr="00807DF8">
      <w:footerReference w:type="default" r:id="rId12"/>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365966" w14:textId="77777777" w:rsidR="001677BD" w:rsidRDefault="001677BD" w:rsidP="009277F7">
      <w:pPr>
        <w:spacing w:after="0" w:line="240" w:lineRule="auto"/>
      </w:pPr>
      <w:r>
        <w:separator/>
      </w:r>
    </w:p>
  </w:endnote>
  <w:endnote w:type="continuationSeparator" w:id="0">
    <w:p w14:paraId="6F1A5FD1" w14:textId="77777777" w:rsidR="001677BD" w:rsidRDefault="001677BD" w:rsidP="009277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MNTU+Calibri">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51811728"/>
      <w:docPartObj>
        <w:docPartGallery w:val="Page Numbers (Bottom of Page)"/>
        <w:docPartUnique/>
      </w:docPartObj>
    </w:sdtPr>
    <w:sdtContent>
      <w:p w14:paraId="2A7E04CC" w14:textId="77777777" w:rsidR="008C416B" w:rsidRDefault="008C416B">
        <w:pPr>
          <w:pStyle w:val="Rodap"/>
          <w:jc w:val="right"/>
        </w:pPr>
        <w:r>
          <w:fldChar w:fldCharType="begin"/>
        </w:r>
        <w:r>
          <w:instrText>PAGE   \* MERGEFORMAT</w:instrText>
        </w:r>
        <w:r>
          <w:fldChar w:fldCharType="separate"/>
        </w:r>
        <w:r w:rsidR="006A06A4">
          <w:rPr>
            <w:noProof/>
          </w:rPr>
          <w:t>70</w:t>
        </w:r>
        <w:r>
          <w:fldChar w:fldCharType="end"/>
        </w:r>
      </w:p>
    </w:sdtContent>
  </w:sdt>
  <w:p w14:paraId="3F8ADCF4" w14:textId="77777777" w:rsidR="008C416B" w:rsidRDefault="008C416B">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9B1439" w14:textId="77777777" w:rsidR="001677BD" w:rsidRDefault="001677BD" w:rsidP="009277F7">
      <w:pPr>
        <w:spacing w:after="0" w:line="240" w:lineRule="auto"/>
      </w:pPr>
      <w:r>
        <w:separator/>
      </w:r>
    </w:p>
  </w:footnote>
  <w:footnote w:type="continuationSeparator" w:id="0">
    <w:p w14:paraId="50540860" w14:textId="77777777" w:rsidR="001677BD" w:rsidRDefault="001677BD" w:rsidP="009277F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AF6774"/>
    <w:multiLevelType w:val="hybridMultilevel"/>
    <w:tmpl w:val="5D4A3254"/>
    <w:lvl w:ilvl="0" w:tplc="43CC7FA4">
      <w:start w:val="1"/>
      <w:numFmt w:val="lowerRoman"/>
      <w:lvlText w:val="(%1)"/>
      <w:lvlJc w:val="left"/>
      <w:pPr>
        <w:ind w:left="2214" w:hanging="108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1" w15:restartNumberingAfterBreak="0">
    <w:nsid w:val="1FD20038"/>
    <w:multiLevelType w:val="hybridMultilevel"/>
    <w:tmpl w:val="A36C1014"/>
    <w:lvl w:ilvl="0" w:tplc="FF982026">
      <w:start w:val="1"/>
      <w:numFmt w:val="lowerRoman"/>
      <w:lvlText w:val="(%1)"/>
      <w:lvlJc w:val="left"/>
      <w:pPr>
        <w:ind w:left="2356" w:hanging="1080"/>
      </w:pPr>
      <w:rPr>
        <w:rFonts w:hint="default"/>
      </w:rPr>
    </w:lvl>
    <w:lvl w:ilvl="1" w:tplc="04160019" w:tentative="1">
      <w:start w:val="1"/>
      <w:numFmt w:val="lowerLetter"/>
      <w:lvlText w:val="%2."/>
      <w:lvlJc w:val="left"/>
      <w:pPr>
        <w:ind w:left="2356" w:hanging="360"/>
      </w:pPr>
    </w:lvl>
    <w:lvl w:ilvl="2" w:tplc="0416001B" w:tentative="1">
      <w:start w:val="1"/>
      <w:numFmt w:val="lowerRoman"/>
      <w:lvlText w:val="%3."/>
      <w:lvlJc w:val="right"/>
      <w:pPr>
        <w:ind w:left="3076" w:hanging="180"/>
      </w:pPr>
    </w:lvl>
    <w:lvl w:ilvl="3" w:tplc="0416000F" w:tentative="1">
      <w:start w:val="1"/>
      <w:numFmt w:val="decimal"/>
      <w:lvlText w:val="%4."/>
      <w:lvlJc w:val="left"/>
      <w:pPr>
        <w:ind w:left="3796" w:hanging="360"/>
      </w:pPr>
    </w:lvl>
    <w:lvl w:ilvl="4" w:tplc="04160019" w:tentative="1">
      <w:start w:val="1"/>
      <w:numFmt w:val="lowerLetter"/>
      <w:lvlText w:val="%5."/>
      <w:lvlJc w:val="left"/>
      <w:pPr>
        <w:ind w:left="4516" w:hanging="360"/>
      </w:pPr>
    </w:lvl>
    <w:lvl w:ilvl="5" w:tplc="0416001B" w:tentative="1">
      <w:start w:val="1"/>
      <w:numFmt w:val="lowerRoman"/>
      <w:lvlText w:val="%6."/>
      <w:lvlJc w:val="right"/>
      <w:pPr>
        <w:ind w:left="5236" w:hanging="180"/>
      </w:pPr>
    </w:lvl>
    <w:lvl w:ilvl="6" w:tplc="0416000F" w:tentative="1">
      <w:start w:val="1"/>
      <w:numFmt w:val="decimal"/>
      <w:lvlText w:val="%7."/>
      <w:lvlJc w:val="left"/>
      <w:pPr>
        <w:ind w:left="5956" w:hanging="360"/>
      </w:pPr>
    </w:lvl>
    <w:lvl w:ilvl="7" w:tplc="04160019" w:tentative="1">
      <w:start w:val="1"/>
      <w:numFmt w:val="lowerLetter"/>
      <w:lvlText w:val="%8."/>
      <w:lvlJc w:val="left"/>
      <w:pPr>
        <w:ind w:left="6676" w:hanging="360"/>
      </w:pPr>
    </w:lvl>
    <w:lvl w:ilvl="8" w:tplc="0416001B" w:tentative="1">
      <w:start w:val="1"/>
      <w:numFmt w:val="lowerRoman"/>
      <w:lvlText w:val="%9."/>
      <w:lvlJc w:val="right"/>
      <w:pPr>
        <w:ind w:left="7396" w:hanging="180"/>
      </w:pPr>
    </w:lvl>
  </w:abstractNum>
  <w:abstractNum w:abstractNumId="2" w15:restartNumberingAfterBreak="0">
    <w:nsid w:val="2BAC0F6E"/>
    <w:multiLevelType w:val="hybridMultilevel"/>
    <w:tmpl w:val="72BE46F0"/>
    <w:lvl w:ilvl="0" w:tplc="B77EDEF6">
      <w:start w:val="1"/>
      <w:numFmt w:val="decimal"/>
      <w:lvlText w:val="%1-"/>
      <w:lvlJc w:val="left"/>
      <w:pPr>
        <w:ind w:left="720" w:hanging="360"/>
      </w:pPr>
      <w:rPr>
        <w:rFonts w:ascii="Arial" w:eastAsiaTheme="minorHAnsi" w:hAnsi="Arial" w:cs="Arial"/>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367678CA"/>
    <w:multiLevelType w:val="multilevel"/>
    <w:tmpl w:val="6A3E53AC"/>
    <w:lvl w:ilvl="0">
      <w:start w:val="1"/>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7414625F"/>
    <w:multiLevelType w:val="hybridMultilevel"/>
    <w:tmpl w:val="141CEEAA"/>
    <w:lvl w:ilvl="0" w:tplc="0BE6CFE4">
      <w:start w:val="1"/>
      <w:numFmt w:val="lowerRoman"/>
      <w:lvlText w:val="(%1)"/>
      <w:lvlJc w:val="left"/>
      <w:pPr>
        <w:ind w:left="1854" w:hanging="720"/>
      </w:pPr>
      <w:rPr>
        <w:rFonts w:cs="Times New Roman" w:hint="default"/>
      </w:rPr>
    </w:lvl>
    <w:lvl w:ilvl="1" w:tplc="04160019" w:tentative="1">
      <w:start w:val="1"/>
      <w:numFmt w:val="lowerLetter"/>
      <w:lvlText w:val="%2."/>
      <w:lvlJc w:val="left"/>
      <w:pPr>
        <w:ind w:left="2214" w:hanging="360"/>
      </w:pPr>
      <w:rPr>
        <w:rFonts w:cs="Times New Roman"/>
      </w:rPr>
    </w:lvl>
    <w:lvl w:ilvl="2" w:tplc="0416001B" w:tentative="1">
      <w:start w:val="1"/>
      <w:numFmt w:val="lowerRoman"/>
      <w:lvlText w:val="%3."/>
      <w:lvlJc w:val="right"/>
      <w:pPr>
        <w:ind w:left="2934" w:hanging="180"/>
      </w:pPr>
      <w:rPr>
        <w:rFonts w:cs="Times New Roman"/>
      </w:rPr>
    </w:lvl>
    <w:lvl w:ilvl="3" w:tplc="0416000F" w:tentative="1">
      <w:start w:val="1"/>
      <w:numFmt w:val="decimal"/>
      <w:lvlText w:val="%4."/>
      <w:lvlJc w:val="left"/>
      <w:pPr>
        <w:ind w:left="3654" w:hanging="360"/>
      </w:pPr>
      <w:rPr>
        <w:rFonts w:cs="Times New Roman"/>
      </w:rPr>
    </w:lvl>
    <w:lvl w:ilvl="4" w:tplc="04160019" w:tentative="1">
      <w:start w:val="1"/>
      <w:numFmt w:val="lowerLetter"/>
      <w:lvlText w:val="%5."/>
      <w:lvlJc w:val="left"/>
      <w:pPr>
        <w:ind w:left="4374" w:hanging="360"/>
      </w:pPr>
      <w:rPr>
        <w:rFonts w:cs="Times New Roman"/>
      </w:rPr>
    </w:lvl>
    <w:lvl w:ilvl="5" w:tplc="0416001B" w:tentative="1">
      <w:start w:val="1"/>
      <w:numFmt w:val="lowerRoman"/>
      <w:lvlText w:val="%6."/>
      <w:lvlJc w:val="right"/>
      <w:pPr>
        <w:ind w:left="5094" w:hanging="180"/>
      </w:pPr>
      <w:rPr>
        <w:rFonts w:cs="Times New Roman"/>
      </w:rPr>
    </w:lvl>
    <w:lvl w:ilvl="6" w:tplc="0416000F" w:tentative="1">
      <w:start w:val="1"/>
      <w:numFmt w:val="decimal"/>
      <w:lvlText w:val="%7."/>
      <w:lvlJc w:val="left"/>
      <w:pPr>
        <w:ind w:left="5814" w:hanging="360"/>
      </w:pPr>
      <w:rPr>
        <w:rFonts w:cs="Times New Roman"/>
      </w:rPr>
    </w:lvl>
    <w:lvl w:ilvl="7" w:tplc="04160019" w:tentative="1">
      <w:start w:val="1"/>
      <w:numFmt w:val="lowerLetter"/>
      <w:lvlText w:val="%8."/>
      <w:lvlJc w:val="left"/>
      <w:pPr>
        <w:ind w:left="6534" w:hanging="360"/>
      </w:pPr>
      <w:rPr>
        <w:rFonts w:cs="Times New Roman"/>
      </w:rPr>
    </w:lvl>
    <w:lvl w:ilvl="8" w:tplc="0416001B" w:tentative="1">
      <w:start w:val="1"/>
      <w:numFmt w:val="lowerRoman"/>
      <w:lvlText w:val="%9."/>
      <w:lvlJc w:val="right"/>
      <w:pPr>
        <w:ind w:left="7254" w:hanging="180"/>
      </w:pPr>
      <w:rPr>
        <w:rFonts w:cs="Times New Roman"/>
      </w:rPr>
    </w:lvl>
  </w:abstractNum>
  <w:num w:numId="1" w16cid:durableId="548153780">
    <w:abstractNumId w:val="3"/>
  </w:num>
  <w:num w:numId="2" w16cid:durableId="573198681">
    <w:abstractNumId w:val="4"/>
  </w:num>
  <w:num w:numId="3" w16cid:durableId="1346975124">
    <w:abstractNumId w:val="0"/>
  </w:num>
  <w:num w:numId="4" w16cid:durableId="1968588929">
    <w:abstractNumId w:val="1"/>
  </w:num>
  <w:num w:numId="5" w16cid:durableId="8974395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5034"/>
    <w:rsid w:val="0001056E"/>
    <w:rsid w:val="000123E0"/>
    <w:rsid w:val="00015E6B"/>
    <w:rsid w:val="0003239D"/>
    <w:rsid w:val="00033A45"/>
    <w:rsid w:val="00034328"/>
    <w:rsid w:val="00045BAE"/>
    <w:rsid w:val="000461AA"/>
    <w:rsid w:val="00050360"/>
    <w:rsid w:val="000534B1"/>
    <w:rsid w:val="000546CE"/>
    <w:rsid w:val="000567A6"/>
    <w:rsid w:val="00062441"/>
    <w:rsid w:val="00064246"/>
    <w:rsid w:val="0007615C"/>
    <w:rsid w:val="00076A34"/>
    <w:rsid w:val="0008022F"/>
    <w:rsid w:val="000829AC"/>
    <w:rsid w:val="00084FA8"/>
    <w:rsid w:val="00090EF6"/>
    <w:rsid w:val="00091A50"/>
    <w:rsid w:val="00092A60"/>
    <w:rsid w:val="00096122"/>
    <w:rsid w:val="00096E29"/>
    <w:rsid w:val="00097881"/>
    <w:rsid w:val="000A0188"/>
    <w:rsid w:val="000A2044"/>
    <w:rsid w:val="000A4E63"/>
    <w:rsid w:val="000B1C31"/>
    <w:rsid w:val="000B7AFC"/>
    <w:rsid w:val="000C7C0E"/>
    <w:rsid w:val="000E1841"/>
    <w:rsid w:val="000E63E7"/>
    <w:rsid w:val="000F25F5"/>
    <w:rsid w:val="000F31AD"/>
    <w:rsid w:val="00103D0D"/>
    <w:rsid w:val="00111C0A"/>
    <w:rsid w:val="0011289F"/>
    <w:rsid w:val="001129EC"/>
    <w:rsid w:val="001177C6"/>
    <w:rsid w:val="00133442"/>
    <w:rsid w:val="00133919"/>
    <w:rsid w:val="001345D8"/>
    <w:rsid w:val="00135C05"/>
    <w:rsid w:val="00143579"/>
    <w:rsid w:val="00152BBF"/>
    <w:rsid w:val="001579D3"/>
    <w:rsid w:val="001601C2"/>
    <w:rsid w:val="001677BD"/>
    <w:rsid w:val="001742AC"/>
    <w:rsid w:val="00183C53"/>
    <w:rsid w:val="001951E9"/>
    <w:rsid w:val="00195513"/>
    <w:rsid w:val="001970BE"/>
    <w:rsid w:val="001A1E7F"/>
    <w:rsid w:val="001A2ABD"/>
    <w:rsid w:val="001A5040"/>
    <w:rsid w:val="001B51D5"/>
    <w:rsid w:val="001B6867"/>
    <w:rsid w:val="001C6227"/>
    <w:rsid w:val="001D20C7"/>
    <w:rsid w:val="001D6FE8"/>
    <w:rsid w:val="001E48D2"/>
    <w:rsid w:val="001E4BAD"/>
    <w:rsid w:val="001F0250"/>
    <w:rsid w:val="001F0669"/>
    <w:rsid w:val="001F07F0"/>
    <w:rsid w:val="00202486"/>
    <w:rsid w:val="00206F2D"/>
    <w:rsid w:val="002149EF"/>
    <w:rsid w:val="00215382"/>
    <w:rsid w:val="00216C13"/>
    <w:rsid w:val="0022528A"/>
    <w:rsid w:val="00226464"/>
    <w:rsid w:val="00232CBF"/>
    <w:rsid w:val="00243996"/>
    <w:rsid w:val="00253045"/>
    <w:rsid w:val="002532AD"/>
    <w:rsid w:val="0026353C"/>
    <w:rsid w:val="00264D56"/>
    <w:rsid w:val="00264E58"/>
    <w:rsid w:val="0026583D"/>
    <w:rsid w:val="00273D10"/>
    <w:rsid w:val="00275E6B"/>
    <w:rsid w:val="002761A7"/>
    <w:rsid w:val="002859CB"/>
    <w:rsid w:val="00287725"/>
    <w:rsid w:val="0029657E"/>
    <w:rsid w:val="00296AF1"/>
    <w:rsid w:val="002A1532"/>
    <w:rsid w:val="002A4152"/>
    <w:rsid w:val="002A71AD"/>
    <w:rsid w:val="002A7C8E"/>
    <w:rsid w:val="002B0CBE"/>
    <w:rsid w:val="002B22FB"/>
    <w:rsid w:val="002B3EDE"/>
    <w:rsid w:val="002B66F9"/>
    <w:rsid w:val="002C06F1"/>
    <w:rsid w:val="002C13F8"/>
    <w:rsid w:val="002D6A19"/>
    <w:rsid w:val="002E0974"/>
    <w:rsid w:val="002F45F7"/>
    <w:rsid w:val="002F4FD9"/>
    <w:rsid w:val="003019F8"/>
    <w:rsid w:val="00303E17"/>
    <w:rsid w:val="00316F34"/>
    <w:rsid w:val="00322DF9"/>
    <w:rsid w:val="003232BF"/>
    <w:rsid w:val="0033486F"/>
    <w:rsid w:val="00345ADF"/>
    <w:rsid w:val="00353BC0"/>
    <w:rsid w:val="00372019"/>
    <w:rsid w:val="00381A71"/>
    <w:rsid w:val="00382C31"/>
    <w:rsid w:val="003A0D04"/>
    <w:rsid w:val="003A1E86"/>
    <w:rsid w:val="003A3716"/>
    <w:rsid w:val="003A543F"/>
    <w:rsid w:val="003C5053"/>
    <w:rsid w:val="003F2EF9"/>
    <w:rsid w:val="003F3D59"/>
    <w:rsid w:val="003F6B0E"/>
    <w:rsid w:val="00403227"/>
    <w:rsid w:val="00407583"/>
    <w:rsid w:val="00421BEC"/>
    <w:rsid w:val="0042380E"/>
    <w:rsid w:val="00423EB6"/>
    <w:rsid w:val="00434E4A"/>
    <w:rsid w:val="00435C15"/>
    <w:rsid w:val="0044052C"/>
    <w:rsid w:val="00443022"/>
    <w:rsid w:val="004437C3"/>
    <w:rsid w:val="00447707"/>
    <w:rsid w:val="00447F93"/>
    <w:rsid w:val="00454352"/>
    <w:rsid w:val="0045790C"/>
    <w:rsid w:val="00461A29"/>
    <w:rsid w:val="00467824"/>
    <w:rsid w:val="004702DB"/>
    <w:rsid w:val="00470385"/>
    <w:rsid w:val="00473595"/>
    <w:rsid w:val="00475584"/>
    <w:rsid w:val="00476430"/>
    <w:rsid w:val="0047772B"/>
    <w:rsid w:val="0048272D"/>
    <w:rsid w:val="00484558"/>
    <w:rsid w:val="00492C18"/>
    <w:rsid w:val="00493769"/>
    <w:rsid w:val="00494B60"/>
    <w:rsid w:val="004A3B1D"/>
    <w:rsid w:val="004A3CA9"/>
    <w:rsid w:val="004A44C4"/>
    <w:rsid w:val="004B4575"/>
    <w:rsid w:val="004D010A"/>
    <w:rsid w:val="004D3AB0"/>
    <w:rsid w:val="004D4FFA"/>
    <w:rsid w:val="004D6AFF"/>
    <w:rsid w:val="004E7D10"/>
    <w:rsid w:val="004F42DA"/>
    <w:rsid w:val="004F513B"/>
    <w:rsid w:val="00500AB0"/>
    <w:rsid w:val="00505AF2"/>
    <w:rsid w:val="005109BC"/>
    <w:rsid w:val="005137C9"/>
    <w:rsid w:val="0052042E"/>
    <w:rsid w:val="005274C6"/>
    <w:rsid w:val="005418B8"/>
    <w:rsid w:val="0054605E"/>
    <w:rsid w:val="0054639B"/>
    <w:rsid w:val="00552A01"/>
    <w:rsid w:val="0055611E"/>
    <w:rsid w:val="005565AA"/>
    <w:rsid w:val="00557F56"/>
    <w:rsid w:val="005615AE"/>
    <w:rsid w:val="00564DD5"/>
    <w:rsid w:val="005661DE"/>
    <w:rsid w:val="005668A2"/>
    <w:rsid w:val="005737A4"/>
    <w:rsid w:val="00577AD1"/>
    <w:rsid w:val="00590487"/>
    <w:rsid w:val="00592DC9"/>
    <w:rsid w:val="00593F71"/>
    <w:rsid w:val="00593F94"/>
    <w:rsid w:val="00596B14"/>
    <w:rsid w:val="005A4C9F"/>
    <w:rsid w:val="005A6EEB"/>
    <w:rsid w:val="005B1672"/>
    <w:rsid w:val="005B22AA"/>
    <w:rsid w:val="005C73A8"/>
    <w:rsid w:val="005E0EE6"/>
    <w:rsid w:val="005E21BC"/>
    <w:rsid w:val="005E47C1"/>
    <w:rsid w:val="005E63F7"/>
    <w:rsid w:val="005F42B7"/>
    <w:rsid w:val="005F4BEC"/>
    <w:rsid w:val="005F70EC"/>
    <w:rsid w:val="0060333A"/>
    <w:rsid w:val="00604483"/>
    <w:rsid w:val="00611092"/>
    <w:rsid w:val="006116E4"/>
    <w:rsid w:val="00611D0F"/>
    <w:rsid w:val="0062259C"/>
    <w:rsid w:val="00630845"/>
    <w:rsid w:val="006317E3"/>
    <w:rsid w:val="00635CA3"/>
    <w:rsid w:val="00641A18"/>
    <w:rsid w:val="006437F0"/>
    <w:rsid w:val="006443FF"/>
    <w:rsid w:val="00645A14"/>
    <w:rsid w:val="00646459"/>
    <w:rsid w:val="00646940"/>
    <w:rsid w:val="00651096"/>
    <w:rsid w:val="006623DE"/>
    <w:rsid w:val="00664962"/>
    <w:rsid w:val="00671952"/>
    <w:rsid w:val="00683479"/>
    <w:rsid w:val="0068691A"/>
    <w:rsid w:val="006917A9"/>
    <w:rsid w:val="00694DF5"/>
    <w:rsid w:val="00696494"/>
    <w:rsid w:val="006A06A4"/>
    <w:rsid w:val="006A38C8"/>
    <w:rsid w:val="006A6496"/>
    <w:rsid w:val="006B250B"/>
    <w:rsid w:val="006B388F"/>
    <w:rsid w:val="006C14A7"/>
    <w:rsid w:val="006C3373"/>
    <w:rsid w:val="006C5F86"/>
    <w:rsid w:val="006C6255"/>
    <w:rsid w:val="006D4B49"/>
    <w:rsid w:val="006E123F"/>
    <w:rsid w:val="006E57A5"/>
    <w:rsid w:val="006F048E"/>
    <w:rsid w:val="00704248"/>
    <w:rsid w:val="00707114"/>
    <w:rsid w:val="00710B53"/>
    <w:rsid w:val="00712F5D"/>
    <w:rsid w:val="00713376"/>
    <w:rsid w:val="00715DEC"/>
    <w:rsid w:val="00715E92"/>
    <w:rsid w:val="00716F96"/>
    <w:rsid w:val="00721218"/>
    <w:rsid w:val="007216B4"/>
    <w:rsid w:val="0072230E"/>
    <w:rsid w:val="0072581F"/>
    <w:rsid w:val="00734BB9"/>
    <w:rsid w:val="00735B2D"/>
    <w:rsid w:val="00744013"/>
    <w:rsid w:val="007503AC"/>
    <w:rsid w:val="007520E3"/>
    <w:rsid w:val="007524AD"/>
    <w:rsid w:val="007530E0"/>
    <w:rsid w:val="007535C1"/>
    <w:rsid w:val="00763726"/>
    <w:rsid w:val="007656ED"/>
    <w:rsid w:val="007829FA"/>
    <w:rsid w:val="00782B68"/>
    <w:rsid w:val="0078561A"/>
    <w:rsid w:val="007923F3"/>
    <w:rsid w:val="0079438E"/>
    <w:rsid w:val="00796C66"/>
    <w:rsid w:val="007A2940"/>
    <w:rsid w:val="007A3AA1"/>
    <w:rsid w:val="007B03BB"/>
    <w:rsid w:val="007B4303"/>
    <w:rsid w:val="007B444F"/>
    <w:rsid w:val="007D4DBA"/>
    <w:rsid w:val="007E3BBA"/>
    <w:rsid w:val="007E5FB0"/>
    <w:rsid w:val="007F6F7B"/>
    <w:rsid w:val="007F7085"/>
    <w:rsid w:val="007F7BE3"/>
    <w:rsid w:val="00803CF4"/>
    <w:rsid w:val="00807869"/>
    <w:rsid w:val="00807DF8"/>
    <w:rsid w:val="008148B5"/>
    <w:rsid w:val="0081680E"/>
    <w:rsid w:val="00825558"/>
    <w:rsid w:val="008301D4"/>
    <w:rsid w:val="00833E7A"/>
    <w:rsid w:val="00834D06"/>
    <w:rsid w:val="00835439"/>
    <w:rsid w:val="00842181"/>
    <w:rsid w:val="00847820"/>
    <w:rsid w:val="00851F9B"/>
    <w:rsid w:val="008521EA"/>
    <w:rsid w:val="0085560C"/>
    <w:rsid w:val="00855CA0"/>
    <w:rsid w:val="008570F6"/>
    <w:rsid w:val="0086302B"/>
    <w:rsid w:val="0086676D"/>
    <w:rsid w:val="008669F8"/>
    <w:rsid w:val="00873BEF"/>
    <w:rsid w:val="008765E1"/>
    <w:rsid w:val="00877E60"/>
    <w:rsid w:val="0088096F"/>
    <w:rsid w:val="00884533"/>
    <w:rsid w:val="00887A1C"/>
    <w:rsid w:val="00890B23"/>
    <w:rsid w:val="008915BF"/>
    <w:rsid w:val="00896C00"/>
    <w:rsid w:val="00897068"/>
    <w:rsid w:val="008A06AA"/>
    <w:rsid w:val="008A5EA7"/>
    <w:rsid w:val="008A6F36"/>
    <w:rsid w:val="008B610B"/>
    <w:rsid w:val="008B6904"/>
    <w:rsid w:val="008B7E4B"/>
    <w:rsid w:val="008C416B"/>
    <w:rsid w:val="008C422F"/>
    <w:rsid w:val="008C6474"/>
    <w:rsid w:val="008F25B4"/>
    <w:rsid w:val="00906324"/>
    <w:rsid w:val="009113C3"/>
    <w:rsid w:val="00914E9B"/>
    <w:rsid w:val="009200A8"/>
    <w:rsid w:val="00922735"/>
    <w:rsid w:val="009245B1"/>
    <w:rsid w:val="00925CA8"/>
    <w:rsid w:val="009277F7"/>
    <w:rsid w:val="0093144C"/>
    <w:rsid w:val="0093235F"/>
    <w:rsid w:val="009323FE"/>
    <w:rsid w:val="00937BD1"/>
    <w:rsid w:val="00952620"/>
    <w:rsid w:val="00961334"/>
    <w:rsid w:val="00961899"/>
    <w:rsid w:val="00965A2B"/>
    <w:rsid w:val="009664AD"/>
    <w:rsid w:val="00976739"/>
    <w:rsid w:val="00980FB6"/>
    <w:rsid w:val="00990783"/>
    <w:rsid w:val="009A4D37"/>
    <w:rsid w:val="009B02AC"/>
    <w:rsid w:val="009B042E"/>
    <w:rsid w:val="009B2096"/>
    <w:rsid w:val="009B3DD7"/>
    <w:rsid w:val="009B56BE"/>
    <w:rsid w:val="009B7707"/>
    <w:rsid w:val="009C114B"/>
    <w:rsid w:val="009C427E"/>
    <w:rsid w:val="009C57C2"/>
    <w:rsid w:val="009D11B9"/>
    <w:rsid w:val="009D4A90"/>
    <w:rsid w:val="009D7790"/>
    <w:rsid w:val="009E32C7"/>
    <w:rsid w:val="009E7787"/>
    <w:rsid w:val="009F2A7A"/>
    <w:rsid w:val="009F36F6"/>
    <w:rsid w:val="00A11A99"/>
    <w:rsid w:val="00A13759"/>
    <w:rsid w:val="00A178D8"/>
    <w:rsid w:val="00A2587E"/>
    <w:rsid w:val="00A26CFB"/>
    <w:rsid w:val="00A2705A"/>
    <w:rsid w:val="00A3151A"/>
    <w:rsid w:val="00A4031C"/>
    <w:rsid w:val="00A423EB"/>
    <w:rsid w:val="00A50E28"/>
    <w:rsid w:val="00A50EF2"/>
    <w:rsid w:val="00A62ED1"/>
    <w:rsid w:val="00A6393B"/>
    <w:rsid w:val="00A64419"/>
    <w:rsid w:val="00A671A0"/>
    <w:rsid w:val="00A72623"/>
    <w:rsid w:val="00A73BA0"/>
    <w:rsid w:val="00A859E0"/>
    <w:rsid w:val="00A92356"/>
    <w:rsid w:val="00A96CBE"/>
    <w:rsid w:val="00AA2F05"/>
    <w:rsid w:val="00AB4E52"/>
    <w:rsid w:val="00AC105F"/>
    <w:rsid w:val="00AC34E5"/>
    <w:rsid w:val="00AC75D3"/>
    <w:rsid w:val="00AD4A6D"/>
    <w:rsid w:val="00AE05FE"/>
    <w:rsid w:val="00AE283E"/>
    <w:rsid w:val="00AE6504"/>
    <w:rsid w:val="00AF648D"/>
    <w:rsid w:val="00B01428"/>
    <w:rsid w:val="00B06359"/>
    <w:rsid w:val="00B1295F"/>
    <w:rsid w:val="00B24295"/>
    <w:rsid w:val="00B24DD0"/>
    <w:rsid w:val="00B347CE"/>
    <w:rsid w:val="00B34976"/>
    <w:rsid w:val="00B35EB1"/>
    <w:rsid w:val="00B403CC"/>
    <w:rsid w:val="00B51D57"/>
    <w:rsid w:val="00B51D90"/>
    <w:rsid w:val="00B52B90"/>
    <w:rsid w:val="00B53B6C"/>
    <w:rsid w:val="00B54010"/>
    <w:rsid w:val="00B63061"/>
    <w:rsid w:val="00B65A64"/>
    <w:rsid w:val="00B664DD"/>
    <w:rsid w:val="00B74ABA"/>
    <w:rsid w:val="00B760AA"/>
    <w:rsid w:val="00B820A2"/>
    <w:rsid w:val="00B84AB3"/>
    <w:rsid w:val="00B96F5F"/>
    <w:rsid w:val="00BA364E"/>
    <w:rsid w:val="00BA39A1"/>
    <w:rsid w:val="00BA791A"/>
    <w:rsid w:val="00BA7BC9"/>
    <w:rsid w:val="00BB0E1C"/>
    <w:rsid w:val="00BB146B"/>
    <w:rsid w:val="00BB4B07"/>
    <w:rsid w:val="00BC0980"/>
    <w:rsid w:val="00BC2EDB"/>
    <w:rsid w:val="00BC3CEA"/>
    <w:rsid w:val="00BC5CE8"/>
    <w:rsid w:val="00BE078B"/>
    <w:rsid w:val="00BE1E31"/>
    <w:rsid w:val="00BE2AB1"/>
    <w:rsid w:val="00BF324F"/>
    <w:rsid w:val="00BF4B69"/>
    <w:rsid w:val="00C06343"/>
    <w:rsid w:val="00C1199A"/>
    <w:rsid w:val="00C152FE"/>
    <w:rsid w:val="00C364CB"/>
    <w:rsid w:val="00C41F57"/>
    <w:rsid w:val="00C42DC9"/>
    <w:rsid w:val="00C52386"/>
    <w:rsid w:val="00C52709"/>
    <w:rsid w:val="00C530E7"/>
    <w:rsid w:val="00C55D83"/>
    <w:rsid w:val="00C60671"/>
    <w:rsid w:val="00C64108"/>
    <w:rsid w:val="00C70F96"/>
    <w:rsid w:val="00C7216B"/>
    <w:rsid w:val="00C77924"/>
    <w:rsid w:val="00C80B9F"/>
    <w:rsid w:val="00C8213D"/>
    <w:rsid w:val="00C8748F"/>
    <w:rsid w:val="00C90CBB"/>
    <w:rsid w:val="00C920FA"/>
    <w:rsid w:val="00C9524E"/>
    <w:rsid w:val="00CB2404"/>
    <w:rsid w:val="00CC3055"/>
    <w:rsid w:val="00CC3FC9"/>
    <w:rsid w:val="00CD4905"/>
    <w:rsid w:val="00CD6BFB"/>
    <w:rsid w:val="00CE051E"/>
    <w:rsid w:val="00CE090F"/>
    <w:rsid w:val="00CE21CF"/>
    <w:rsid w:val="00CE3A0E"/>
    <w:rsid w:val="00CF7C45"/>
    <w:rsid w:val="00D02BCC"/>
    <w:rsid w:val="00D106CA"/>
    <w:rsid w:val="00D1173B"/>
    <w:rsid w:val="00D121C7"/>
    <w:rsid w:val="00D204F4"/>
    <w:rsid w:val="00D22379"/>
    <w:rsid w:val="00D247ED"/>
    <w:rsid w:val="00D35E62"/>
    <w:rsid w:val="00D40A79"/>
    <w:rsid w:val="00D42922"/>
    <w:rsid w:val="00D4305E"/>
    <w:rsid w:val="00D468A7"/>
    <w:rsid w:val="00D517C5"/>
    <w:rsid w:val="00D540E6"/>
    <w:rsid w:val="00D61E66"/>
    <w:rsid w:val="00D675C9"/>
    <w:rsid w:val="00D80EB6"/>
    <w:rsid w:val="00D817BB"/>
    <w:rsid w:val="00D8401D"/>
    <w:rsid w:val="00D85034"/>
    <w:rsid w:val="00D86452"/>
    <w:rsid w:val="00D929DB"/>
    <w:rsid w:val="00DA1923"/>
    <w:rsid w:val="00DA27E4"/>
    <w:rsid w:val="00DB33A7"/>
    <w:rsid w:val="00DB3C60"/>
    <w:rsid w:val="00DB733A"/>
    <w:rsid w:val="00DD13A4"/>
    <w:rsid w:val="00DD1F8F"/>
    <w:rsid w:val="00DE2690"/>
    <w:rsid w:val="00DE2FF3"/>
    <w:rsid w:val="00DE37E7"/>
    <w:rsid w:val="00DE57E7"/>
    <w:rsid w:val="00DF5FBF"/>
    <w:rsid w:val="00DF6768"/>
    <w:rsid w:val="00E007F1"/>
    <w:rsid w:val="00E06F7A"/>
    <w:rsid w:val="00E10D35"/>
    <w:rsid w:val="00E10EFB"/>
    <w:rsid w:val="00E1482D"/>
    <w:rsid w:val="00E16459"/>
    <w:rsid w:val="00E22DEF"/>
    <w:rsid w:val="00E3271A"/>
    <w:rsid w:val="00E418F4"/>
    <w:rsid w:val="00E45475"/>
    <w:rsid w:val="00E47CA0"/>
    <w:rsid w:val="00E500F7"/>
    <w:rsid w:val="00E526EB"/>
    <w:rsid w:val="00E532BA"/>
    <w:rsid w:val="00E55979"/>
    <w:rsid w:val="00E62B2D"/>
    <w:rsid w:val="00E7023F"/>
    <w:rsid w:val="00E72AE3"/>
    <w:rsid w:val="00E8251A"/>
    <w:rsid w:val="00E91D26"/>
    <w:rsid w:val="00E947E4"/>
    <w:rsid w:val="00EA19DC"/>
    <w:rsid w:val="00EA41DC"/>
    <w:rsid w:val="00EA6F20"/>
    <w:rsid w:val="00EB00B6"/>
    <w:rsid w:val="00EB0824"/>
    <w:rsid w:val="00EB22CF"/>
    <w:rsid w:val="00EB53C9"/>
    <w:rsid w:val="00EC64B6"/>
    <w:rsid w:val="00EC729F"/>
    <w:rsid w:val="00ED2740"/>
    <w:rsid w:val="00EE7917"/>
    <w:rsid w:val="00EF33C0"/>
    <w:rsid w:val="00EF6978"/>
    <w:rsid w:val="00EF757A"/>
    <w:rsid w:val="00F01270"/>
    <w:rsid w:val="00F1028A"/>
    <w:rsid w:val="00F11036"/>
    <w:rsid w:val="00F134AE"/>
    <w:rsid w:val="00F15F87"/>
    <w:rsid w:val="00F218CA"/>
    <w:rsid w:val="00F2294D"/>
    <w:rsid w:val="00F30573"/>
    <w:rsid w:val="00F30AF7"/>
    <w:rsid w:val="00F311D2"/>
    <w:rsid w:val="00F315C5"/>
    <w:rsid w:val="00F36410"/>
    <w:rsid w:val="00F45D08"/>
    <w:rsid w:val="00F505D7"/>
    <w:rsid w:val="00F54C0E"/>
    <w:rsid w:val="00F6029A"/>
    <w:rsid w:val="00F65039"/>
    <w:rsid w:val="00F70E89"/>
    <w:rsid w:val="00F72587"/>
    <w:rsid w:val="00F754C9"/>
    <w:rsid w:val="00F8584C"/>
    <w:rsid w:val="00F87B3D"/>
    <w:rsid w:val="00F90193"/>
    <w:rsid w:val="00F9081B"/>
    <w:rsid w:val="00F9412E"/>
    <w:rsid w:val="00F964DD"/>
    <w:rsid w:val="00FA5B99"/>
    <w:rsid w:val="00FB36A0"/>
    <w:rsid w:val="00FC0A04"/>
    <w:rsid w:val="00FC0F2A"/>
    <w:rsid w:val="00FC1A0F"/>
    <w:rsid w:val="00FC75EF"/>
    <w:rsid w:val="00FC78F3"/>
    <w:rsid w:val="00FD0CFA"/>
    <w:rsid w:val="00FD509B"/>
    <w:rsid w:val="00FE056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8E4254"/>
  <w15:chartTrackingRefBased/>
  <w15:docId w15:val="{441B93B3-F61E-4C4D-BB24-93E1E14E45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096E29"/>
    <w:pPr>
      <w:ind w:left="720"/>
      <w:contextualSpacing/>
    </w:pPr>
  </w:style>
  <w:style w:type="paragraph" w:styleId="NormalWeb">
    <w:name w:val="Normal (Web)"/>
    <w:basedOn w:val="Normal"/>
    <w:uiPriority w:val="99"/>
    <w:semiHidden/>
    <w:unhideWhenUsed/>
    <w:rsid w:val="0026353C"/>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D80EB6"/>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D80EB6"/>
    <w:rPr>
      <w:rFonts w:ascii="Segoe UI" w:hAnsi="Segoe UI" w:cs="Segoe UI"/>
      <w:sz w:val="18"/>
      <w:szCs w:val="18"/>
    </w:rPr>
  </w:style>
  <w:style w:type="character" w:styleId="Refdecomentrio">
    <w:name w:val="annotation reference"/>
    <w:basedOn w:val="Fontepargpadro"/>
    <w:uiPriority w:val="99"/>
    <w:semiHidden/>
    <w:unhideWhenUsed/>
    <w:rsid w:val="00E22DEF"/>
    <w:rPr>
      <w:sz w:val="16"/>
      <w:szCs w:val="16"/>
    </w:rPr>
  </w:style>
  <w:style w:type="paragraph" w:styleId="Textodecomentrio">
    <w:name w:val="annotation text"/>
    <w:basedOn w:val="Normal"/>
    <w:link w:val="TextodecomentrioChar"/>
    <w:uiPriority w:val="99"/>
    <w:semiHidden/>
    <w:unhideWhenUsed/>
    <w:rsid w:val="00E22DEF"/>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E22DEF"/>
    <w:rPr>
      <w:sz w:val="20"/>
      <w:szCs w:val="20"/>
    </w:rPr>
  </w:style>
  <w:style w:type="paragraph" w:styleId="Assuntodocomentrio">
    <w:name w:val="annotation subject"/>
    <w:basedOn w:val="Textodecomentrio"/>
    <w:next w:val="Textodecomentrio"/>
    <w:link w:val="AssuntodocomentrioChar"/>
    <w:uiPriority w:val="99"/>
    <w:semiHidden/>
    <w:unhideWhenUsed/>
    <w:rsid w:val="00E22DEF"/>
    <w:rPr>
      <w:b/>
      <w:bCs/>
    </w:rPr>
  </w:style>
  <w:style w:type="character" w:customStyle="1" w:styleId="AssuntodocomentrioChar">
    <w:name w:val="Assunto do comentário Char"/>
    <w:basedOn w:val="TextodecomentrioChar"/>
    <w:link w:val="Assuntodocomentrio"/>
    <w:uiPriority w:val="99"/>
    <w:semiHidden/>
    <w:rsid w:val="00E22DEF"/>
    <w:rPr>
      <w:b/>
      <w:bCs/>
      <w:sz w:val="20"/>
      <w:szCs w:val="20"/>
    </w:rPr>
  </w:style>
  <w:style w:type="paragraph" w:styleId="Cabealho">
    <w:name w:val="header"/>
    <w:basedOn w:val="Normal"/>
    <w:link w:val="CabealhoChar"/>
    <w:uiPriority w:val="99"/>
    <w:unhideWhenUsed/>
    <w:rsid w:val="009277F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277F7"/>
  </w:style>
  <w:style w:type="paragraph" w:styleId="Rodap">
    <w:name w:val="footer"/>
    <w:basedOn w:val="Normal"/>
    <w:link w:val="RodapChar"/>
    <w:uiPriority w:val="99"/>
    <w:unhideWhenUsed/>
    <w:rsid w:val="009277F7"/>
    <w:pPr>
      <w:tabs>
        <w:tab w:val="center" w:pos="4252"/>
        <w:tab w:val="right" w:pos="8504"/>
      </w:tabs>
      <w:spacing w:after="0" w:line="240" w:lineRule="auto"/>
    </w:pPr>
  </w:style>
  <w:style w:type="character" w:customStyle="1" w:styleId="RodapChar">
    <w:name w:val="Rodapé Char"/>
    <w:basedOn w:val="Fontepargpadro"/>
    <w:link w:val="Rodap"/>
    <w:uiPriority w:val="99"/>
    <w:rsid w:val="009277F7"/>
  </w:style>
  <w:style w:type="paragraph" w:customStyle="1" w:styleId="Default">
    <w:name w:val="Default"/>
    <w:rsid w:val="00DA27E4"/>
    <w:pPr>
      <w:autoSpaceDE w:val="0"/>
      <w:autoSpaceDN w:val="0"/>
      <w:adjustRightInd w:val="0"/>
      <w:spacing w:after="0" w:line="240" w:lineRule="auto"/>
    </w:pPr>
    <w:rPr>
      <w:rFonts w:ascii="BAMNTU+Calibri" w:eastAsia="Times New Roman" w:hAnsi="BAMNTU+Calibri" w:cs="BAMNTU+Calibri"/>
      <w:color w:val="000000"/>
      <w:sz w:val="24"/>
      <w:szCs w:val="24"/>
    </w:rPr>
  </w:style>
  <w:style w:type="character" w:styleId="Hyperlink">
    <w:name w:val="Hyperlink"/>
    <w:basedOn w:val="Fontepargpadro"/>
    <w:uiPriority w:val="99"/>
    <w:unhideWhenUsed/>
    <w:rsid w:val="00C0634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992079">
      <w:bodyDiv w:val="1"/>
      <w:marLeft w:val="0"/>
      <w:marRight w:val="0"/>
      <w:marTop w:val="0"/>
      <w:marBottom w:val="0"/>
      <w:divBdr>
        <w:top w:val="none" w:sz="0" w:space="0" w:color="auto"/>
        <w:left w:val="none" w:sz="0" w:space="0" w:color="auto"/>
        <w:bottom w:val="none" w:sz="0" w:space="0" w:color="auto"/>
        <w:right w:val="none" w:sz="0" w:space="0" w:color="auto"/>
      </w:divBdr>
    </w:div>
    <w:div w:id="546257821">
      <w:bodyDiv w:val="1"/>
      <w:marLeft w:val="0"/>
      <w:marRight w:val="0"/>
      <w:marTop w:val="0"/>
      <w:marBottom w:val="0"/>
      <w:divBdr>
        <w:top w:val="none" w:sz="0" w:space="0" w:color="auto"/>
        <w:left w:val="none" w:sz="0" w:space="0" w:color="auto"/>
        <w:bottom w:val="none" w:sz="0" w:space="0" w:color="auto"/>
        <w:right w:val="none" w:sz="0" w:space="0" w:color="auto"/>
      </w:divBdr>
    </w:div>
    <w:div w:id="693924402">
      <w:bodyDiv w:val="1"/>
      <w:marLeft w:val="0"/>
      <w:marRight w:val="0"/>
      <w:marTop w:val="0"/>
      <w:marBottom w:val="0"/>
      <w:divBdr>
        <w:top w:val="none" w:sz="0" w:space="0" w:color="auto"/>
        <w:left w:val="none" w:sz="0" w:space="0" w:color="auto"/>
        <w:bottom w:val="none" w:sz="0" w:space="0" w:color="auto"/>
        <w:right w:val="none" w:sz="0" w:space="0" w:color="auto"/>
      </w:divBdr>
    </w:div>
    <w:div w:id="1065760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lanalto.gov.br/ccivil_03/constituicao/constituicao.ht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tf.jus.br/portal/jurisprudencia/listarJurisprudencia.asp?s1=%28%28MS+E+MORAES+E+DJE%2D018%29%2835410%2ENUME%2E+OU+35410%2EDMS%2E%29%29+NAO+S%2EPRES%2E&amp;base=baseMonocraticas&amp;url=http://tinyurl.com/r967zul" TargetMode="External"/><Relationship Id="rId5" Type="http://schemas.openxmlformats.org/officeDocument/2006/relationships/webSettings" Target="webSettings.xml"/><Relationship Id="rId10" Type="http://schemas.openxmlformats.org/officeDocument/2006/relationships/hyperlink" Target="https://www.planalto.gov.br/ccivil_03/constituicao/constituicao.htm" TargetMode="External"/><Relationship Id="rId4" Type="http://schemas.openxmlformats.org/officeDocument/2006/relationships/settings" Target="settings.xml"/><Relationship Id="rId9" Type="http://schemas.openxmlformats.org/officeDocument/2006/relationships/hyperlink" Target="https://jurisprudencia.stf.jus.br/pages/search/seq-sumula347/false" TargetMode="External"/><Relationship Id="rId14"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4FAE5A-2009-47C5-85CB-C28B742F40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229</TotalTime>
  <Pages>68</Pages>
  <Words>16409</Words>
  <Characters>88610</Characters>
  <Application>Microsoft Office Word</Application>
  <DocSecurity>0</DocSecurity>
  <Lines>738</Lines>
  <Paragraphs>209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104810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Antonio Serrano</dc:creator>
  <cp:keywords/>
  <dc:description/>
  <cp:lastModifiedBy>Filippe Lizardo</cp:lastModifiedBy>
  <cp:revision>133</cp:revision>
  <cp:lastPrinted>2022-08-03T17:48:00Z</cp:lastPrinted>
  <dcterms:created xsi:type="dcterms:W3CDTF">2022-08-09T22:55:00Z</dcterms:created>
  <dcterms:modified xsi:type="dcterms:W3CDTF">2022-08-10T02:42:00Z</dcterms:modified>
</cp:coreProperties>
</file>