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26" w:rsidRDefault="00832526" w:rsidP="00832526">
      <w:pPr>
        <w:shd w:val="clear" w:color="auto" w:fill="FFFFFF"/>
        <w:spacing w:after="0" w:line="334" w:lineRule="atLeast"/>
        <w:outlineLvl w:val="2"/>
        <w:rPr>
          <w:rFonts w:ascii="Candara" w:eastAsia="Times New Roman" w:hAnsi="Candara" w:cs="Times New Roman"/>
          <w:color w:val="000000"/>
          <w:spacing w:val="-5"/>
          <w:sz w:val="38"/>
          <w:szCs w:val="38"/>
          <w:lang w:eastAsia="pt-BR"/>
        </w:rPr>
      </w:pPr>
      <w:r>
        <w:fldChar w:fldCharType="begin"/>
      </w:r>
      <w:r>
        <w:instrText xml:space="preserve"> HYPERLINK "https://www.zenite.blog.br/de-acordo-com-o-tcu-e-a-in-no-052017-da-segesmp-e-possivel-a-administracao-definir-os-salarios-de-terceirizados-no-edital/" </w:instrText>
      </w:r>
      <w:r>
        <w:fldChar w:fldCharType="separate"/>
      </w:r>
      <w:r>
        <w:rPr>
          <w:rStyle w:val="Hyperlink"/>
        </w:rPr>
        <w:t>https://www.zenite.blog.br/de-acordo-com-o-tcu-e-a-in-no-052017-da-segesmp-e-possivel-a-administracao-definir-os-salarios-de-terceirizados-no-edital/</w:t>
      </w:r>
      <w:r>
        <w:fldChar w:fldCharType="end"/>
      </w:r>
    </w:p>
    <w:p w:rsidR="00832526" w:rsidRPr="00832526" w:rsidRDefault="00832526" w:rsidP="00832526">
      <w:pPr>
        <w:shd w:val="clear" w:color="auto" w:fill="FFFFFF"/>
        <w:spacing w:after="0" w:line="334" w:lineRule="atLeast"/>
        <w:outlineLvl w:val="2"/>
        <w:rPr>
          <w:rFonts w:ascii="Candara" w:eastAsia="Times New Roman" w:hAnsi="Candara" w:cs="Times New Roman"/>
          <w:color w:val="000000"/>
          <w:spacing w:val="-5"/>
          <w:sz w:val="38"/>
          <w:szCs w:val="38"/>
          <w:lang w:eastAsia="pt-BR"/>
        </w:rPr>
      </w:pPr>
      <w:r w:rsidRPr="00832526">
        <w:rPr>
          <w:rFonts w:ascii="Candara" w:eastAsia="Times New Roman" w:hAnsi="Candara" w:cs="Times New Roman"/>
          <w:color w:val="000000"/>
          <w:spacing w:val="-5"/>
          <w:sz w:val="38"/>
          <w:szCs w:val="38"/>
          <w:lang w:eastAsia="pt-BR"/>
        </w:rPr>
        <w:t>De acordo com o TCU e a IN nº 05/2017 da Seges/MP, é possível a Administração definir os salários de terceirizados no edital?</w:t>
      </w:r>
      <w:bookmarkStart w:id="0" w:name="_GoBack"/>
      <w:bookmarkEnd w:id="0"/>
    </w:p>
    <w:p w:rsidR="00832526" w:rsidRPr="00832526" w:rsidRDefault="00832526" w:rsidP="00832526">
      <w:pPr>
        <w:shd w:val="clear" w:color="auto" w:fill="FFFFFF"/>
        <w:spacing w:line="360" w:lineRule="atLeast"/>
        <w:rPr>
          <w:rFonts w:ascii="Candara" w:eastAsia="Times New Roman" w:hAnsi="Candara" w:cs="Times New Roman"/>
          <w:color w:val="282828"/>
          <w:sz w:val="23"/>
          <w:szCs w:val="23"/>
          <w:lang w:eastAsia="pt-BR"/>
        </w:rPr>
      </w:pPr>
      <w:hyperlink r:id="rId5" w:history="1">
        <w:r w:rsidRPr="00832526">
          <w:rPr>
            <w:rFonts w:ascii="Candara" w:eastAsia="Times New Roman" w:hAnsi="Candara" w:cs="Times New Roman"/>
            <w:color w:val="282828"/>
            <w:sz w:val="23"/>
            <w:szCs w:val="23"/>
            <w:bdr w:val="none" w:sz="0" w:space="0" w:color="auto" w:frame="1"/>
            <w:lang w:eastAsia="pt-BR"/>
          </w:rPr>
          <w:t>Terceirização</w:t>
        </w:r>
      </w:hyperlink>
      <w:r w:rsidRPr="00832526">
        <w:rPr>
          <w:rFonts w:ascii="Candara" w:eastAsia="Times New Roman" w:hAnsi="Candara" w:cs="Times New Roman"/>
          <w:color w:val="282828"/>
          <w:sz w:val="23"/>
          <w:szCs w:val="23"/>
          <w:lang w:eastAsia="pt-BR"/>
        </w:rPr>
        <w:t> </w:t>
      </w:r>
      <w:hyperlink r:id="rId6" w:history="1">
        <w:r w:rsidRPr="00832526">
          <w:rPr>
            <w:rFonts w:ascii="Candara" w:eastAsia="Times New Roman" w:hAnsi="Candara" w:cs="Times New Roman"/>
            <w:color w:val="282828"/>
            <w:sz w:val="23"/>
            <w:szCs w:val="23"/>
            <w:bdr w:val="none" w:sz="0" w:space="0" w:color="auto" w:frame="1"/>
            <w:lang w:eastAsia="pt-BR"/>
          </w:rPr>
          <w:t>19/08/2019</w:t>
        </w:r>
      </w:hyperlink>
      <w:r w:rsidRPr="00832526">
        <w:rPr>
          <w:rFonts w:ascii="Candara" w:eastAsia="Times New Roman" w:hAnsi="Candara" w:cs="Times New Roman"/>
          <w:color w:val="282828"/>
          <w:sz w:val="23"/>
          <w:szCs w:val="23"/>
          <w:lang w:eastAsia="pt-BR"/>
        </w:rPr>
        <w:t> </w:t>
      </w:r>
      <w:hyperlink r:id="rId7" w:history="1">
        <w:r w:rsidRPr="00832526">
          <w:rPr>
            <w:rFonts w:ascii="Candara" w:eastAsia="Times New Roman" w:hAnsi="Candara" w:cs="Times New Roman"/>
            <w:color w:val="282828"/>
            <w:sz w:val="23"/>
            <w:szCs w:val="23"/>
            <w:bdr w:val="none" w:sz="0" w:space="0" w:color="auto" w:frame="1"/>
            <w:lang w:eastAsia="pt-BR"/>
          </w:rPr>
          <w:t>Por</w:t>
        </w:r>
        <w:r w:rsidRPr="00832526">
          <w:rPr>
            <w:rFonts w:ascii="Candara" w:eastAsia="Times New Roman" w:hAnsi="Candara" w:cs="Times New Roman"/>
            <w:color w:val="000000"/>
            <w:sz w:val="23"/>
            <w:szCs w:val="23"/>
            <w:bdr w:val="none" w:sz="0" w:space="0" w:color="auto" w:frame="1"/>
            <w:lang w:eastAsia="pt-BR"/>
          </w:rPr>
          <w:t xml:space="preserve"> Equipe Técnica </w:t>
        </w:r>
        <w:proofErr w:type="gramStart"/>
        <w:r w:rsidRPr="00832526">
          <w:rPr>
            <w:rFonts w:ascii="Candara" w:eastAsia="Times New Roman" w:hAnsi="Candara" w:cs="Times New Roman"/>
            <w:color w:val="000000"/>
            <w:sz w:val="23"/>
            <w:szCs w:val="23"/>
            <w:bdr w:val="none" w:sz="0" w:space="0" w:color="auto" w:frame="1"/>
            <w:lang w:eastAsia="pt-BR"/>
          </w:rPr>
          <w:t>da Zênite</w:t>
        </w:r>
        <w:proofErr w:type="gramEnd"/>
        <w:r w:rsidRPr="00832526">
          <w:rPr>
            <w:rFonts w:ascii="Candara" w:eastAsia="Times New Roman" w:hAnsi="Candara" w:cs="Times New Roman"/>
            <w:color w:val="000000"/>
            <w:sz w:val="23"/>
            <w:szCs w:val="23"/>
            <w:bdr w:val="none" w:sz="0" w:space="0" w:color="auto" w:frame="1"/>
            <w:lang w:eastAsia="pt-BR"/>
          </w:rPr>
          <w:t> </w:t>
        </w:r>
      </w:hyperlink>
      <w:hyperlink r:id="rId8" w:anchor="respond" w:history="1">
        <w:r w:rsidRPr="00832526">
          <w:rPr>
            <w:rFonts w:ascii="Candara" w:eastAsia="Times New Roman" w:hAnsi="Candara" w:cs="Times New Roman"/>
            <w:color w:val="FFFFFF"/>
            <w:sz w:val="23"/>
            <w:szCs w:val="23"/>
            <w:bdr w:val="none" w:sz="0" w:space="0" w:color="auto" w:frame="1"/>
            <w:lang w:eastAsia="pt-BR"/>
          </w:rPr>
          <w:t>0</w:t>
        </w:r>
      </w:hyperlink>
    </w:p>
    <w:p w:rsidR="00832526" w:rsidRPr="00832526" w:rsidRDefault="00832526" w:rsidP="00832526">
      <w:pPr>
        <w:shd w:val="clear" w:color="auto" w:fill="FFFFFF"/>
        <w:spacing w:after="336" w:line="371" w:lineRule="atLeast"/>
        <w:rPr>
          <w:rFonts w:ascii="Candara" w:eastAsia="Times New Roman" w:hAnsi="Candara" w:cs="Times New Roman"/>
          <w:color w:val="282828"/>
          <w:sz w:val="29"/>
          <w:szCs w:val="29"/>
          <w:lang w:eastAsia="pt-BR"/>
        </w:rPr>
      </w:pPr>
      <w:r w:rsidRPr="00832526">
        <w:rPr>
          <w:rFonts w:ascii="Candara" w:eastAsia="Times New Roman" w:hAnsi="Candara" w:cs="Times New Roman"/>
          <w:color w:val="282828"/>
          <w:sz w:val="29"/>
          <w:szCs w:val="29"/>
          <w:lang w:eastAsia="pt-BR"/>
        </w:rPr>
        <w:t>A definição de salário pela Administração Pública em editais de terceirização de serviços, embora sempre polêmica, já foi admitida tanto na jurisprudência quanto em normas.</w:t>
      </w:r>
    </w:p>
    <w:p w:rsidR="00832526" w:rsidRPr="00832526" w:rsidRDefault="00832526" w:rsidP="00832526">
      <w:pPr>
        <w:shd w:val="clear" w:color="auto" w:fill="FFFFFF"/>
        <w:spacing w:after="336" w:line="371" w:lineRule="atLeast"/>
        <w:rPr>
          <w:rFonts w:ascii="Candara" w:eastAsia="Times New Roman" w:hAnsi="Candara" w:cs="Times New Roman"/>
          <w:color w:val="282828"/>
          <w:sz w:val="29"/>
          <w:szCs w:val="29"/>
          <w:lang w:eastAsia="pt-BR"/>
        </w:rPr>
      </w:pPr>
      <w:r w:rsidRPr="00832526">
        <w:rPr>
          <w:rFonts w:ascii="Candara" w:eastAsia="Times New Roman" w:hAnsi="Candara" w:cs="Times New Roman"/>
          <w:color w:val="282828"/>
          <w:sz w:val="29"/>
          <w:szCs w:val="29"/>
          <w:lang w:eastAsia="pt-BR"/>
        </w:rPr>
        <w:t>Para uma contratação vantajosa e eficiente, as exigências estabelecidas pela Administração devem refletir as condições efetivamente necessárias para assegurar o atendimento de sua demanda (</w:t>
      </w:r>
      <w:hyperlink r:id="rId9" w:anchor="art37xxi" w:history="1">
        <w:r w:rsidRPr="00832526">
          <w:rPr>
            <w:rFonts w:ascii="Candara" w:eastAsia="Times New Roman" w:hAnsi="Candara" w:cs="Times New Roman"/>
            <w:color w:val="EA4A3B"/>
            <w:sz w:val="29"/>
            <w:szCs w:val="29"/>
            <w:bdr w:val="none" w:sz="0" w:space="0" w:color="auto" w:frame="1"/>
            <w:lang w:eastAsia="pt-BR"/>
          </w:rPr>
          <w:t>art. 37, inc. XXI, da Constituição Federal</w:t>
        </w:r>
      </w:hyperlink>
      <w:r w:rsidRPr="00832526">
        <w:rPr>
          <w:rFonts w:ascii="Candara" w:eastAsia="Times New Roman" w:hAnsi="Candara" w:cs="Times New Roman"/>
          <w:color w:val="282828"/>
          <w:sz w:val="29"/>
          <w:szCs w:val="29"/>
          <w:lang w:eastAsia="pt-BR"/>
        </w:rPr>
        <w:t>).</w:t>
      </w:r>
    </w:p>
    <w:p w:rsidR="00832526" w:rsidRPr="00832526" w:rsidRDefault="00832526" w:rsidP="00832526">
      <w:pPr>
        <w:shd w:val="clear" w:color="auto" w:fill="FFFFFF"/>
        <w:spacing w:after="336" w:line="371" w:lineRule="atLeast"/>
        <w:rPr>
          <w:rFonts w:ascii="Candara" w:eastAsia="Times New Roman" w:hAnsi="Candara" w:cs="Times New Roman"/>
          <w:color w:val="282828"/>
          <w:sz w:val="29"/>
          <w:szCs w:val="29"/>
          <w:lang w:eastAsia="pt-BR"/>
        </w:rPr>
      </w:pPr>
      <w:r w:rsidRPr="00832526">
        <w:rPr>
          <w:rFonts w:ascii="Candara" w:eastAsia="Times New Roman" w:hAnsi="Candara" w:cs="Times New Roman"/>
          <w:color w:val="282828"/>
          <w:sz w:val="29"/>
          <w:szCs w:val="29"/>
          <w:lang w:eastAsia="pt-BR"/>
        </w:rPr>
        <w:t>Logo, é preciso certificar-se de que há motivação para contratação de profissionais com perfil e qualificação diferenciados para a satisfação da necessidade e, ainda, comprovar que as condições salariais para esses profissionais são superiores àquelas determinadas como mínimas, conforme a legislação ou documentos coletivos aplicáveis.</w:t>
      </w:r>
    </w:p>
    <w:p w:rsidR="00832526" w:rsidRPr="00832526" w:rsidRDefault="00832526" w:rsidP="00832526">
      <w:pPr>
        <w:shd w:val="clear" w:color="auto" w:fill="FFFFFF"/>
        <w:spacing w:after="336" w:line="371" w:lineRule="atLeast"/>
        <w:rPr>
          <w:rFonts w:ascii="Candara" w:eastAsia="Times New Roman" w:hAnsi="Candara" w:cs="Times New Roman"/>
          <w:color w:val="282828"/>
          <w:sz w:val="29"/>
          <w:szCs w:val="29"/>
          <w:lang w:eastAsia="pt-BR"/>
        </w:rPr>
      </w:pPr>
      <w:r w:rsidRPr="00832526">
        <w:rPr>
          <w:rFonts w:ascii="Candara" w:eastAsia="Times New Roman" w:hAnsi="Candara" w:cs="Times New Roman"/>
          <w:color w:val="282828"/>
          <w:sz w:val="29"/>
          <w:szCs w:val="29"/>
          <w:lang w:eastAsia="pt-BR"/>
        </w:rPr>
        <w:t>Reunidos elementos que demonstrem a necessidade de contratação de profissionais com perfil e qualificação diferenciados e que indiquem a prática de uma remuneração maior para esses profissionais, </w:t>
      </w:r>
      <w:r w:rsidRPr="00832526">
        <w:rPr>
          <w:rFonts w:ascii="Candara" w:eastAsia="Times New Roman" w:hAnsi="Candara" w:cs="Times New Roman"/>
          <w:b/>
          <w:bCs/>
          <w:color w:val="000000"/>
          <w:sz w:val="29"/>
          <w:szCs w:val="29"/>
          <w:bdr w:val="none" w:sz="0" w:space="0" w:color="auto" w:frame="1"/>
          <w:lang w:eastAsia="pt-BR"/>
        </w:rPr>
        <w:t>de acordo com a tendência jurisprudencial do TCU</w:t>
      </w:r>
      <w:r w:rsidRPr="00832526">
        <w:rPr>
          <w:rFonts w:ascii="Candara" w:eastAsia="Times New Roman" w:hAnsi="Candara" w:cs="Times New Roman"/>
          <w:color w:val="282828"/>
          <w:sz w:val="29"/>
          <w:szCs w:val="29"/>
          <w:lang w:eastAsia="pt-BR"/>
        </w:rPr>
        <w:t>, poderá ser justificada a exigência de salário superior àquele fixado no documento coletivo de trabalho aplicável ou ao salário mínimo vigente.</w:t>
      </w:r>
    </w:p>
    <w:p w:rsidR="00832526" w:rsidRPr="00832526" w:rsidRDefault="00832526" w:rsidP="00832526">
      <w:pPr>
        <w:shd w:val="clear" w:color="auto" w:fill="FFFFFF"/>
        <w:spacing w:after="336" w:line="371" w:lineRule="atLeast"/>
        <w:rPr>
          <w:rFonts w:ascii="Candara" w:eastAsia="Times New Roman" w:hAnsi="Candara" w:cs="Times New Roman"/>
          <w:color w:val="282828"/>
          <w:sz w:val="29"/>
          <w:szCs w:val="29"/>
          <w:lang w:eastAsia="pt-BR"/>
        </w:rPr>
      </w:pPr>
      <w:r w:rsidRPr="00832526">
        <w:rPr>
          <w:rFonts w:ascii="Candara" w:eastAsia="Times New Roman" w:hAnsi="Candara" w:cs="Times New Roman"/>
          <w:color w:val="282828"/>
          <w:sz w:val="29"/>
          <w:szCs w:val="29"/>
          <w:lang w:eastAsia="pt-BR"/>
        </w:rPr>
        <w:t>O inc. VI do art. 5º da IN Seges/MP nº 05/2017 veda a Administração ou seus servidores de praticarem atos de ingerência na administração da contratada:</w:t>
      </w:r>
    </w:p>
    <w:p w:rsidR="00832526" w:rsidRPr="00832526" w:rsidRDefault="00832526" w:rsidP="00832526">
      <w:pPr>
        <w:shd w:val="clear" w:color="auto" w:fill="353C4D"/>
        <w:spacing w:after="0" w:line="371" w:lineRule="atLeast"/>
        <w:rPr>
          <w:rFonts w:ascii="Candara" w:eastAsia="Times New Roman" w:hAnsi="Candara" w:cs="Times New Roman"/>
          <w:i/>
          <w:iCs/>
          <w:color w:val="CCCCCC"/>
          <w:sz w:val="29"/>
          <w:szCs w:val="29"/>
          <w:lang w:eastAsia="pt-BR"/>
        </w:rPr>
      </w:pPr>
      <w:r w:rsidRPr="00832526">
        <w:rPr>
          <w:rFonts w:ascii="Candara" w:eastAsia="Times New Roman" w:hAnsi="Candara" w:cs="Times New Roman"/>
          <w:i/>
          <w:iCs/>
          <w:color w:val="CCCCCC"/>
          <w:sz w:val="29"/>
          <w:szCs w:val="29"/>
          <w:lang w:eastAsia="pt-BR"/>
        </w:rPr>
        <w:t>Art. 5º […]</w:t>
      </w:r>
    </w:p>
    <w:p w:rsidR="00832526" w:rsidRPr="00832526" w:rsidRDefault="00832526" w:rsidP="00832526">
      <w:pPr>
        <w:shd w:val="clear" w:color="auto" w:fill="353C4D"/>
        <w:spacing w:after="0" w:line="371" w:lineRule="atLeast"/>
        <w:rPr>
          <w:rFonts w:ascii="Candara" w:eastAsia="Times New Roman" w:hAnsi="Candara" w:cs="Times New Roman"/>
          <w:i/>
          <w:iCs/>
          <w:color w:val="CCCCCC"/>
          <w:sz w:val="29"/>
          <w:szCs w:val="29"/>
          <w:lang w:eastAsia="pt-BR"/>
        </w:rPr>
      </w:pPr>
      <w:r w:rsidRPr="00832526">
        <w:rPr>
          <w:rFonts w:ascii="Candara" w:eastAsia="Times New Roman" w:hAnsi="Candara" w:cs="Times New Roman"/>
          <w:i/>
          <w:iCs/>
          <w:color w:val="CCCCCC"/>
          <w:sz w:val="29"/>
          <w:szCs w:val="29"/>
          <w:lang w:eastAsia="pt-BR"/>
        </w:rPr>
        <w:t>[…]</w:t>
      </w:r>
    </w:p>
    <w:p w:rsidR="00832526" w:rsidRPr="00832526" w:rsidRDefault="00832526" w:rsidP="00832526">
      <w:pPr>
        <w:shd w:val="clear" w:color="auto" w:fill="353C4D"/>
        <w:spacing w:after="100" w:line="371" w:lineRule="atLeast"/>
        <w:rPr>
          <w:rFonts w:ascii="Candara" w:eastAsia="Times New Roman" w:hAnsi="Candara" w:cs="Times New Roman"/>
          <w:i/>
          <w:iCs/>
          <w:color w:val="CCCCCC"/>
          <w:sz w:val="29"/>
          <w:szCs w:val="29"/>
          <w:lang w:eastAsia="pt-BR"/>
        </w:rPr>
      </w:pPr>
      <w:r w:rsidRPr="00832526">
        <w:rPr>
          <w:rFonts w:ascii="Candara" w:eastAsia="Times New Roman" w:hAnsi="Candara" w:cs="Times New Roman"/>
          <w:i/>
          <w:iCs/>
          <w:color w:val="CCCCCC"/>
          <w:sz w:val="29"/>
          <w:szCs w:val="29"/>
          <w:lang w:eastAsia="pt-BR"/>
        </w:rPr>
        <w:t>VI – definir o valor da remuneração dos trabalhadores da empresa contratada para prestar os serviços, </w:t>
      </w:r>
      <w:r w:rsidRPr="00832526">
        <w:rPr>
          <w:rFonts w:ascii="Candara" w:eastAsia="Times New Roman" w:hAnsi="Candara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pt-BR"/>
        </w:rPr>
        <w:t xml:space="preserve">salvo nos casos específicos em que </w:t>
      </w:r>
      <w:r w:rsidRPr="00832526">
        <w:rPr>
          <w:rFonts w:ascii="Candara" w:eastAsia="Times New Roman" w:hAnsi="Candara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pt-BR"/>
        </w:rPr>
        <w:lastRenderedPageBreak/>
        <w:t xml:space="preserve">se </w:t>
      </w:r>
      <w:proofErr w:type="gramStart"/>
      <w:r w:rsidRPr="00832526">
        <w:rPr>
          <w:rFonts w:ascii="Candara" w:eastAsia="Times New Roman" w:hAnsi="Candara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pt-BR"/>
        </w:rPr>
        <w:t>necessitam</w:t>
      </w:r>
      <w:proofErr w:type="gramEnd"/>
      <w:r w:rsidRPr="00832526">
        <w:rPr>
          <w:rFonts w:ascii="Candara" w:eastAsia="Times New Roman" w:hAnsi="Candara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pt-BR"/>
        </w:rPr>
        <w:t xml:space="preserve"> de profissionais com habilitação/experiência superior a daqueles que, no mercado, são remunerados pelo piso salarial da categoria, desde que justificadamente</w:t>
      </w:r>
      <w:r w:rsidRPr="00832526">
        <w:rPr>
          <w:rFonts w:ascii="Candara" w:eastAsia="Times New Roman" w:hAnsi="Candara" w:cs="Times New Roman"/>
          <w:i/>
          <w:iCs/>
          <w:color w:val="CCCCCC"/>
          <w:sz w:val="29"/>
          <w:szCs w:val="29"/>
          <w:lang w:eastAsia="pt-BR"/>
        </w:rPr>
        <w:t>. (Grifamos)</w:t>
      </w:r>
    </w:p>
    <w:p w:rsidR="00832526" w:rsidRPr="00832526" w:rsidRDefault="00832526" w:rsidP="00832526">
      <w:pPr>
        <w:shd w:val="clear" w:color="auto" w:fill="FFFFFF"/>
        <w:spacing w:after="336" w:line="371" w:lineRule="atLeast"/>
        <w:rPr>
          <w:rFonts w:ascii="Candara" w:eastAsia="Times New Roman" w:hAnsi="Candara" w:cs="Times New Roman"/>
          <w:color w:val="282828"/>
          <w:sz w:val="29"/>
          <w:szCs w:val="29"/>
          <w:lang w:eastAsia="pt-BR"/>
        </w:rPr>
      </w:pPr>
      <w:r w:rsidRPr="00832526">
        <w:rPr>
          <w:rFonts w:ascii="Candara" w:eastAsia="Times New Roman" w:hAnsi="Candara" w:cs="Times New Roman"/>
          <w:color w:val="282828"/>
          <w:sz w:val="29"/>
          <w:szCs w:val="29"/>
          <w:lang w:eastAsia="pt-BR"/>
        </w:rPr>
        <w:t xml:space="preserve">A demonstração das especificidades das funções que serão desempenhadas pelos profissionais e das condições observadas no mercado é indispensável para justificar, excepcionalmente, a definição de salário maior do que o piso (vide o Acórdão nº 2.799/2017 da Primeira Câmara do TCU). Além disso, é importante justificar o valor que será fixado, </w:t>
      </w:r>
      <w:proofErr w:type="gramStart"/>
      <w:r w:rsidRPr="00832526">
        <w:rPr>
          <w:rFonts w:ascii="Candara" w:eastAsia="Times New Roman" w:hAnsi="Candara" w:cs="Times New Roman"/>
          <w:color w:val="282828"/>
          <w:sz w:val="29"/>
          <w:szCs w:val="29"/>
          <w:lang w:eastAsia="pt-BR"/>
        </w:rPr>
        <w:t>sob pena</w:t>
      </w:r>
      <w:proofErr w:type="gramEnd"/>
      <w:r w:rsidRPr="00832526">
        <w:rPr>
          <w:rFonts w:ascii="Candara" w:eastAsia="Times New Roman" w:hAnsi="Candara" w:cs="Times New Roman"/>
          <w:color w:val="282828"/>
          <w:sz w:val="29"/>
          <w:szCs w:val="29"/>
          <w:lang w:eastAsia="pt-BR"/>
        </w:rPr>
        <w:t xml:space="preserve"> de incorrer em apontamentos como os que constaram do Acórdão nº 607/2016 do Plenário do TCU.</w:t>
      </w:r>
    </w:p>
    <w:p w:rsidR="00832526" w:rsidRPr="00832526" w:rsidRDefault="00832526" w:rsidP="00832526">
      <w:pPr>
        <w:shd w:val="clear" w:color="auto" w:fill="FFFFFF"/>
        <w:spacing w:after="336" w:line="371" w:lineRule="atLeast"/>
        <w:rPr>
          <w:rFonts w:ascii="Candara" w:eastAsia="Times New Roman" w:hAnsi="Candara" w:cs="Times New Roman"/>
          <w:color w:val="282828"/>
          <w:sz w:val="29"/>
          <w:szCs w:val="29"/>
          <w:lang w:eastAsia="pt-BR"/>
        </w:rPr>
      </w:pPr>
      <w:r w:rsidRPr="00832526">
        <w:rPr>
          <w:rFonts w:ascii="Candara" w:eastAsia="Times New Roman" w:hAnsi="Candara" w:cs="Times New Roman"/>
          <w:color w:val="282828"/>
          <w:sz w:val="29"/>
          <w:szCs w:val="29"/>
          <w:lang w:eastAsia="pt-BR"/>
        </w:rPr>
        <w:t>Ressaltamos que, mesmo diante dos precedentes citados, o TCU já sinalizava a </w:t>
      </w:r>
      <w:r w:rsidRPr="00832526">
        <w:rPr>
          <w:rFonts w:ascii="Candara" w:eastAsia="Times New Roman" w:hAnsi="Candara" w:cs="Times New Roman"/>
          <w:b/>
          <w:bCs/>
          <w:color w:val="000000"/>
          <w:sz w:val="29"/>
          <w:szCs w:val="29"/>
          <w:bdr w:val="none" w:sz="0" w:space="0" w:color="auto" w:frame="1"/>
          <w:lang w:eastAsia="pt-BR"/>
        </w:rPr>
        <w:t>possibilidade excepcional</w:t>
      </w:r>
      <w:r w:rsidRPr="00832526">
        <w:rPr>
          <w:rFonts w:ascii="Candara" w:eastAsia="Times New Roman" w:hAnsi="Candara" w:cs="Times New Roman"/>
          <w:color w:val="282828"/>
          <w:sz w:val="29"/>
          <w:szCs w:val="29"/>
          <w:lang w:eastAsia="pt-BR"/>
        </w:rPr>
        <w:t> de, motivadamente, a Administração definir salários no edital. São exemplos o Acórdão nº 332/2010 e o Acórdão nº 189/2011, ambos do Plenário.</w:t>
      </w:r>
    </w:p>
    <w:p w:rsidR="00832526" w:rsidRPr="00832526" w:rsidRDefault="00832526" w:rsidP="00832526">
      <w:pPr>
        <w:shd w:val="clear" w:color="auto" w:fill="FFFFFF"/>
        <w:spacing w:after="336" w:line="371" w:lineRule="atLeast"/>
        <w:rPr>
          <w:rFonts w:ascii="Candara" w:eastAsia="Times New Roman" w:hAnsi="Candara" w:cs="Times New Roman"/>
          <w:color w:val="282828"/>
          <w:sz w:val="29"/>
          <w:szCs w:val="29"/>
          <w:lang w:eastAsia="pt-BR"/>
        </w:rPr>
      </w:pPr>
      <w:r w:rsidRPr="00832526">
        <w:rPr>
          <w:rFonts w:ascii="Candara" w:eastAsia="Times New Roman" w:hAnsi="Candara" w:cs="Times New Roman"/>
          <w:color w:val="282828"/>
          <w:sz w:val="29"/>
          <w:szCs w:val="29"/>
          <w:lang w:eastAsia="pt-BR"/>
        </w:rPr>
        <w:t>Embora o tema seja polêmico, as normas e a jurisprudência do TCU caminham no sentido de admitir, excepcionalmente, a possibilidade de a Administração fixar salários em editais de terceirização de serviços. Contudo, para exigir que as empresas pratiquem salário superior àqueles fixados em convenções coletivas ou ao salário mínimo vigente, é preciso que haja amplo estudo demonstrando </w:t>
      </w:r>
      <w:r w:rsidRPr="00832526">
        <w:rPr>
          <w:rFonts w:ascii="Candara" w:eastAsia="Times New Roman" w:hAnsi="Candara" w:cs="Times New Roman"/>
          <w:b/>
          <w:bCs/>
          <w:color w:val="000000"/>
          <w:sz w:val="29"/>
          <w:szCs w:val="29"/>
          <w:bdr w:val="none" w:sz="0" w:space="0" w:color="auto" w:frame="1"/>
          <w:lang w:eastAsia="pt-BR"/>
        </w:rPr>
        <w:t>objetivamente</w:t>
      </w:r>
      <w:r w:rsidRPr="00832526">
        <w:rPr>
          <w:rFonts w:ascii="Candara" w:eastAsia="Times New Roman" w:hAnsi="Candara" w:cs="Times New Roman"/>
          <w:color w:val="282828"/>
          <w:sz w:val="29"/>
          <w:szCs w:val="29"/>
          <w:lang w:eastAsia="pt-BR"/>
        </w:rPr>
        <w:t> que, </w:t>
      </w:r>
      <w:r w:rsidRPr="00832526">
        <w:rPr>
          <w:rFonts w:ascii="Candara" w:eastAsia="Times New Roman" w:hAnsi="Candara" w:cs="Times New Roman"/>
          <w:b/>
          <w:bCs/>
          <w:color w:val="000000"/>
          <w:sz w:val="29"/>
          <w:szCs w:val="29"/>
          <w:bdr w:val="none" w:sz="0" w:space="0" w:color="auto" w:frame="1"/>
          <w:lang w:eastAsia="pt-BR"/>
        </w:rPr>
        <w:t>diante da realidade de mercado</w:t>
      </w:r>
      <w:r w:rsidRPr="00832526">
        <w:rPr>
          <w:rFonts w:ascii="Candara" w:eastAsia="Times New Roman" w:hAnsi="Candara" w:cs="Times New Roman"/>
          <w:color w:val="282828"/>
          <w:sz w:val="29"/>
          <w:szCs w:val="29"/>
          <w:lang w:eastAsia="pt-BR"/>
        </w:rPr>
        <w:t>, tal exigência representa condição </w:t>
      </w:r>
      <w:r w:rsidRPr="00832526">
        <w:rPr>
          <w:rFonts w:ascii="Candara" w:eastAsia="Times New Roman" w:hAnsi="Candara" w:cs="Times New Roman"/>
          <w:b/>
          <w:bCs/>
          <w:color w:val="000000"/>
          <w:sz w:val="29"/>
          <w:szCs w:val="29"/>
          <w:bdr w:val="none" w:sz="0" w:space="0" w:color="auto" w:frame="1"/>
          <w:lang w:eastAsia="pt-BR"/>
        </w:rPr>
        <w:t>indispensável</w:t>
      </w:r>
      <w:r w:rsidRPr="00832526">
        <w:rPr>
          <w:rFonts w:ascii="Candara" w:eastAsia="Times New Roman" w:hAnsi="Candara" w:cs="Times New Roman"/>
          <w:color w:val="282828"/>
          <w:sz w:val="29"/>
          <w:szCs w:val="29"/>
          <w:lang w:eastAsia="pt-BR"/>
        </w:rPr>
        <w:t> para viabilizar a alocação de profissionais com qualificação compatível com o perfil e os níveis de qualidade justificadamente exigidos para o desenvolvimento do contrato.</w:t>
      </w:r>
    </w:p>
    <w:p w:rsidR="00832526" w:rsidRPr="00832526" w:rsidRDefault="00832526" w:rsidP="00832526">
      <w:pPr>
        <w:shd w:val="clear" w:color="auto" w:fill="FFFFFF"/>
        <w:spacing w:after="336" w:line="371" w:lineRule="atLeast"/>
        <w:rPr>
          <w:rFonts w:ascii="Candara" w:eastAsia="Times New Roman" w:hAnsi="Candara" w:cs="Times New Roman"/>
          <w:color w:val="282828"/>
          <w:sz w:val="29"/>
          <w:szCs w:val="29"/>
          <w:lang w:eastAsia="pt-BR"/>
        </w:rPr>
      </w:pPr>
      <w:r w:rsidRPr="00832526">
        <w:rPr>
          <w:rFonts w:ascii="Candara" w:eastAsia="Times New Roman" w:hAnsi="Candara" w:cs="Times New Roman"/>
          <w:color w:val="282828"/>
          <w:sz w:val="29"/>
          <w:szCs w:val="29"/>
          <w:lang w:eastAsia="pt-BR"/>
        </w:rPr>
        <w:t>Resta uma questão importante: </w:t>
      </w:r>
      <w:r w:rsidRPr="00832526">
        <w:rPr>
          <w:rFonts w:ascii="Candara" w:eastAsia="Times New Roman" w:hAnsi="Candara" w:cs="Times New Roman"/>
          <w:b/>
          <w:bCs/>
          <w:color w:val="000000"/>
          <w:sz w:val="29"/>
          <w:szCs w:val="29"/>
          <w:bdr w:val="none" w:sz="0" w:space="0" w:color="auto" w:frame="1"/>
          <w:lang w:eastAsia="pt-BR"/>
        </w:rPr>
        <w:t>Como afastar a discussão sobre a ingerência indevida na atividade empresarial?</w:t>
      </w:r>
      <w:r w:rsidRPr="00832526">
        <w:rPr>
          <w:rFonts w:ascii="Candara" w:eastAsia="Times New Roman" w:hAnsi="Candara" w:cs="Times New Roman"/>
          <w:color w:val="282828"/>
          <w:sz w:val="29"/>
          <w:szCs w:val="29"/>
          <w:lang w:eastAsia="pt-BR"/>
        </w:rPr>
        <w:t> A resposta para esta e muitas outras questões serão compartilhadas no Seminário Zênite</w:t>
      </w:r>
    </w:p>
    <w:p w:rsidR="00E63BA8" w:rsidRDefault="00E63BA8"/>
    <w:sectPr w:rsidR="00E63B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26"/>
    <w:rsid w:val="00832526"/>
    <w:rsid w:val="00E6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325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32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49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4507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1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nite.blog.br/de-acordo-com-o-tcu-e-a-in-no-052017-da-segesmp-e-possivel-a-administracao-definir-os-salarios-de-terceirizados-no-edi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enite.blog.br/author/equipe-tec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zenite.blog.br/de-acordo-com-o-tcu-e-a-in-no-052017-da-segesmp-e-possivel-a-administracao-definir-os-salarios-de-terceirizados-no-edita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zenite.blog.br/category/terceirizaca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constituicao/constituicao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Município de São Paulo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Pinheiro Silva</dc:creator>
  <cp:lastModifiedBy>Carla Pinheiro Silva</cp:lastModifiedBy>
  <cp:revision>1</cp:revision>
  <dcterms:created xsi:type="dcterms:W3CDTF">2019-12-02T21:11:00Z</dcterms:created>
  <dcterms:modified xsi:type="dcterms:W3CDTF">2019-12-02T21:13:00Z</dcterms:modified>
</cp:coreProperties>
</file>