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6" w:rsidRPr="00966256" w:rsidRDefault="00966256" w:rsidP="00966256">
      <w:pPr>
        <w:rPr>
          <w:rFonts w:ascii="Arial" w:eastAsia="Times New Roman" w:hAnsi="Arial" w:cs="Arial"/>
          <w:color w:val="373A3C"/>
          <w:spacing w:val="2"/>
          <w:lang w:eastAsia="pt-BR"/>
        </w:rPr>
      </w:pP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DENÚNCIA N. 812459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Denunciante: Conselho Regional de Técnico em Radiologia – 3ª Região –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representado por seu Diretor-Presidente, Sr. Paulo Roberto Lima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Ribeiro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Denunciada: Prefeitura Municipal de Uberlândia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Parte (s):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Kellen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Nayara Gomes Nunes, Gladstone Rodrigues da Cunha Filho,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Almir Fernando Loureiro Fontes,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Odelmo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Leão Carneiro Sobrinho,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Gilmar Alves Machado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Procurador (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es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): Amanda Mattos Carvalho Almeida, OAB/MG 127.391; Danilo Burle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Carneiro de Abreu, OAB/MG 141.164; Diogo José da Silva,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OAB/MG 101.277; Elizabete Batista de Bastos, OAB/MG 123.010;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Geraldo Alves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Mundim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Neto, OAB/MG 140.597; Giovanni José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Pereira, OAB/MG 60.721;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Hermeraldo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Andrade, OAB/MG 65.777;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Juliana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Degani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Paes Leme, OAB/MG 97.063; Luana Dias Souza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Honorato, OAB/MG 138.000; Luís Antônio Lira Pontes, OAB/MG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57.056; Marco Antônio Mendes de Araújo, OAB/MG 100.559;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Mariana de Carvalho Pires Mansur, OAB/MG 133.247; Patrick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Mariano Fonseca Cardoso, OAB/MG 143.314; Raphael David Duarte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Mariano, OAB/MG 135.397; Rogério Luiz dos Santos, OAB/MG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65.443; Sérgio Murilo Diniz Braga, OAB/MG 47.969; Sidney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Machado Torres, OAB/MG 131.864; Valéria Lemos Ferreira Silva,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OAB/MG 108.305; Rodrigo Ribeiro Pereira, OAB/MG 83.032;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Arnaldo Silva Júnior, OAB/MG 72.629; Fabrício Souza Duarte,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OAB/MG 94.096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MPTC: Sara Meinberg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RELATOR: CONSELHEIRO JOSÉ ALVES VIANA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EMENTA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DENÚNCIA. PREFEITURA MUNICIPAL. ORGANIZAÇÃO SOCIAL. PRESTAÇÃO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SERVIÇO DE SAÚDE. POSSIBILIDADE. LICITAÇÃO. INEXIGIBILIDADE. LEI </w:t>
      </w:r>
      <w:hyperlink r:id="rId6" w:tooltip="Lei nº 8.666,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8.666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INAPLICABILIDADE. ADI 1923/DF. ORÇAMENTO DETALHADO EM PLANILHA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COMPOSIÇÃO DE CUSTOS. NECESSIDADE. SELEÇÃO DE PESSOAL PELA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ORGANIZAÇÃO SOCIAL. CONCURSO PÚBLICO. DESNECESSIDADE. ART. 37,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CAPUT, CF/88. APLICAÇÃO DE MULTA.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1. Em conformidade com decisão proferida pelo STF na ADI n. 1923/DF, as Organizações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Sociais podem prestar serviços de saúde sem que seja necessária a realização de licitação para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sua seleção.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2. Embora a Lei nº </w:t>
      </w:r>
      <w:hyperlink r:id="rId7" w:tooltip="Lei nº 8.666,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8.666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/93 não seja aplicável à seleção de Organizações Sociais, para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celebração de contrato de gestão, deve haver processo seletivo que respeite os princípios 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art. </w:t>
      </w:r>
      <w:hyperlink r:id="rId8" w:tooltip="Artigo 3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37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caput, da </w:t>
      </w:r>
      <w:hyperlink r:id="rId9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CF/88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com consequente publicação de orçamento detalhado em planilha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composição de custos.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>3. Ainda que não seja necessária a realização de concurso público para a seleção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pessoal pela Organização Social, tal procedimento deve ser conduzido de forma pública,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objetiva e impessoal, com observância dos princípios do caput do art. </w:t>
      </w:r>
      <w:hyperlink r:id="rId10" w:tooltip="Artigo 3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37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da </w:t>
      </w:r>
      <w:hyperlink r:id="rId11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CF/88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Segunda Câmara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33ª Sessão Ordinária – 09/11/2017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 – RELATÓRIO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Tratam os autos de Denúncia oferecida pelo Conselho Regional de Radiologia – 3ª Região,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 face de supostas irregularidades contidas no Edital de Processo Seletivo nº 01/2010,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destinado ao preenchimento de vagas e à formação de cadastro de reserva do quadro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colaboradores da Organização Social Sal da Terra, na gestão da Unidade de Atendimento UAI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Pampulha, no Município de Uberlândia.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Após sua autuação, em 10/02/2010, os autos foram distribuídos à relatoria da Conselheira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Adriene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Andrade que, após análise dos autos, determinou que fosse intimado o Prefeito 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Município de Uberlândia para que encaminhasse cópia impressa do Edital do Processo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Seletivo nº 001/2010, assim como toda a legislação municipal correlata.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 cumprimento à determinação, foi encaminhada a documentação de fls. 33/233.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Análise da 1ª Coordenadoria de Fiscalização de Atos de Pessoal Municipal – CFAPM às fls.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244/250.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Análise da 4ª Coordenadoria de Fiscalização do Município às fls. 255/263.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 Conselheira Relatora determinou a intimação do Prefeito de Uberlândia para que remetesse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 esta Corte a documentação arrolada no exame inicial realizado pelo Órgão Técnico.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 cumprimento à determinação, foram juntados os documentos de fls. 281/1.826.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Nova análise do Órgão Técnico às fls. 1.858/1.895.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Encaminhados os autos ao Ministério Público de Contas, emitiu parecer às fls. 1.922/1.942,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mediante o qual aditou os termos da denúncia e opinou pela citação dos responsáveis legais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pelas irregularidades apontadas no relatório técnico e pelo parquet, assim como a intimação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do atual Prefeito, Sr. Gilmar Alves Machado.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Foram os autos redistribuídos à minha relatoria.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Determinei a realização de diligência (fls. 1.946/1.947), cumprida pelo Município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Uberlândia às fls. 1.954/2.754.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Após nova análise pela 4ª Coordenadoria de Fiscalização dos Municípios e pelo Ministério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Público de Contas, às fls. 2.707/2.749 e 2.751/2.752, respectivamente, foi 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>determinada 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citação dos responsáveis (fls. 2.753/2.754).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A Sra.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Kellen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Nayara Gomes Nunes apresentou sua defesa às fls. 2.785/2.817, o Município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Uberlândia às fls. 2.869/2.904, e o Sr. Gladstone Rodrigues da Cunha Filho às fls.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3.156/3.181.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 Órgão Técnico realizou reexame às fls. 3.537/3.569 e o Ministério Público de Contas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emitiu parecer conclusivo às fls. 3.570/3.577.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Após, retornaram os autos conclusos.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É o relatório.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II – FUNDAMENTAÇÃO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 presente denúncia, como afirmado pelo Ministério Público de Contas, apresenta a discussão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das seguintes temáticas: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sym w:font="Symbol" w:char="F0B7"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As irregularidades presentes no edital de Processo Seletivo nº 01/2010,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conduzido pela Organização Social (OS) Missão Sal da Terra;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sym w:font="Symbol" w:char="F0B7"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As irregularidades presentes na Dispensa de Licitação nº 482/2011, por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meio do qual a Prefeitura Municipal de Uberlândia selecionou a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OS Missão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Sal 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Terra para a celebração de Contrato de Gestão, com o objetivo de operar 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serviços de saúde ofertados pela Unidade de Atendimento Integrado (UAI)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Pampulha e pelas Unidades de Atenção Primária à Saúde da Família (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UAPSFs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) 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Setor Público; 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sym w:font="Symbol" w:char="F0B7"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As irregularidades da terceirização dos serviços de saúde.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Embora a denúncia abordasse inicialmente apenas as possíveis irregularidades presentes no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edital de Processo Seletivo nº 01/2010, a partir das análises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realizadas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pelo Órgão Técnico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foram vislumbradas as demais irregularidades que se tornaram, também, objeto de análise.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 conformidade com o exposto pelo parquet de Contas, as matérias serão analisadas em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ordem diversa da apresentada nos autos.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II.1 – Da prestação indireta dos serviços públicos de saúde por Organizações Sociais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Quanto a este ponto, o Ministério Público de Contas manifestou-se nos seguintes termos: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10. A 4ª CFM, na fase de instrução, entendeu que a celebração do contrato de gestão com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a OS Missão Sal da Terra violou os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arts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. </w:t>
      </w:r>
      <w:hyperlink r:id="rId12" w:tooltip="Artigo 195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195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e </w:t>
      </w:r>
      <w:hyperlink r:id="rId13" w:tooltip="Artigo 19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197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da </w:t>
      </w:r>
      <w:hyperlink r:id="rId14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Constituição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da República, por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configurar terceirização total da operação dos serviços municipais de saúde. Destacou,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para tanto, os pareceres emitidos por esta Corte nas Consultas nº 809.494 e 732.243.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11. Este Ministério Público reiterou os termos do estudo técnico, aduzindo que 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colaboração do parceiro particular nas ações e serviços públicos de saúde iria além 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>caráter complementar permitido pela </w:t>
      </w:r>
      <w:hyperlink r:id="rId15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Constituição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o que faria indevida a terceirização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empreendida pelo Município de Uberlândia.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12. As defesas, por seu turno, asseveraram que a celebração do contrato de gestão se deu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dentro dos limites legais, porquanto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à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OS foi conferida apenas a operacionalização dos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serviços nas Unidades relacionadas, permanecendo a avaliação, a regulação e 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fiscalização com a Administração municipal.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13.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Registraram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ainda, que o modelo adotado já foi questionado perante o Tribunal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Justiça do Estado de Minas Gerais, que, em exame de pedido liminar, reconheceu, 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priori, a legalidade e a legitimidade dos contratos de gestão celebrados.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14. Cumpre, portanto, avaliar se a prestação indireta dos serviços públicos de saúde, nos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moldes conferidos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à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OS Missão Sal da Terra, encontra guarida na </w:t>
      </w:r>
      <w:hyperlink r:id="rId16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Constituição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15. A contextualização do surgimento do Terceiro Setor e a sua regulamentação legal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para as OS já foram exaustivamente debatidas nos estudos constantes dos autos, razão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 dispensar a repetição nesta oportunidade.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16. Contribui decisivamente para esta discussão, porém, a superveniência da decisão do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Supremo Tribunal Federal acerca do tema na Ação Direta de Inconstitucionalidade nº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1923/DF, proferida em sede de controle concentrado e, por isso, com efeito vinculante,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com provimento parcial, para conferir interpretação conforme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à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fldChar w:fldCharType="begin"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instrText xml:space="preserve"> HYPERLINK "http://www.jusbrasil.com.br/legislacao/188546065/constitui%C3%A7%C3%A3o-federal-constitui%C3%A7%C3%A3o-da-republica-federativa-do-brasil-1988" \o "CONSTITUIÇÃO DA REPÚBLICA FEDERATIVA DO BRASIL DE 1988" </w:instrTex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fldChar w:fldCharType="separate"/>
      </w:r>
      <w:r w:rsidRPr="00966256">
        <w:rPr>
          <w:rFonts w:ascii="Arial" w:eastAsia="Times New Roman" w:hAnsi="Arial" w:cs="Arial"/>
          <w:color w:val="0275D8"/>
          <w:spacing w:val="2"/>
          <w:lang w:eastAsia="pt-BR"/>
        </w:rPr>
        <w:t>Constituição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fldChar w:fldCharType="end"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à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Lei nº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9.637, de 1998.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17. Por sua precisão e adequação à matéria aqui tratada, imprescindível transcrever 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trechos pertinentes do voto vencedor proferido pelo Ministro Luiz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Fux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: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“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Em outros termos, a </w:t>
      </w:r>
      <w:hyperlink r:id="rId17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Constituição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não exige que o Poder Público atue, nesses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campos, exclusivamente de forma direta. Pelo contrário, o </w:t>
      </w:r>
      <w:hyperlink r:id="rId18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 xml:space="preserve">texto </w:t>
        </w:r>
        <w:proofErr w:type="spellStart"/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constitucional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é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expresso em afirmar que será válida a atuação indireta, através do fomento, como 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faz com setores particularmente sensíveis como saúde (CF, art. 199, § 2º,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interpretado a contrario sensu – ‘é vedada a destinação de recursos públicos para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auxílios ou subvenções às instituições privadas com fins lucrativos’) e educação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(CF, art. 213 – ‘Os recursos públicos serão destinados às escolas públicas,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podendo ser dirigidos a escolas comunitárias, confessionais ou filantrópicas,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definidas em lei, que: I - comprovem finalidade não-lucrativa e apliquem seus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excedentes financeiros em educação; II - assegurem a destinação de seu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patrimônio a outra escola comunitária, filantrópica ou confessional, ou ao Poder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Público, no caso de encerramento de suas atividades”), mas que se estende por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identidade de razões a todos os serviços sociais.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Disso se extrai que cabe aos agentes democraticamente eleitos a definição da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proporção entre a atuação direta e a indireta, desde que, por qualquer modo, 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lastRenderedPageBreak/>
        <w:t>resultado constitucionalmente fixado – a prestação dos serviços sociais – seja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alcançado. Daí porque não há inconstitucionalidade na opção, manifestada pela Lei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 xml:space="preserve">das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OSs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 xml:space="preserve">, publicada em março de 1998, e posteriormente reiterada com a edição,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em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maio de 1999, da Lei nº </w:t>
      </w:r>
      <w:hyperlink r:id="rId19" w:tooltip="Lei no 9.790, de 23 de Março de 1999.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9.790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/99, que trata das Organizações da Sociedade Civil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de Interesse Público, pelo foco no fomento para o atingimento de determinados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deveres estatais.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Do ponto de vista conceitual, o fomento é a disciplina não coercitiva da conduta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dos particulares, cujo desempenho em atividades de interesse público é estimulado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por sanções premiais. Diogo de Figueiredo Moreira Neto, ao tratar do tema, afirma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que ‘o fomento público, conduzido com liberdade de opção, tem elevado alcance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pedagógico e integrador, podendo ser considerado, para um futuro ainda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longínquo, a atividade mais importante e mais nobre do Estado’, porquanto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fortemente calcada na efetivação do princípio da consensualidade e 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participação no direito administrativo.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A finalidade de fomento, in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casu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é posta em prática pela cessão de recursos, bens 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pessoal da Administração Pública para as entidades privadas, após a celebração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contrato de gestão. Este mesmo contrato de gestão, por outro lado, será 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instrumento consensual que viabilizará o direcionamento, pelo Poder Público, 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atuação do particular em consonância com o interesse público, através da inserção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 metas e de resultados a serem alcançados, em uma versão branda da conhecida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regulação, temperada pelo princípio da consensualidade e pela participação dos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administrados. 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Além disso, a regulação ainda incidirá da forma tradicional, pela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 xml:space="preserve">imposição de deveres definidos em leis ou atos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infralegais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, tal como decidido por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este STF acerca da educação, mesmo quando desempenhada por particulares, na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acima citada ADI nº 1.266, Rel. Min. Eros Grau, mitigando a predominância do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princípio da livre iniciativa pela possibilidade de incidência de regulação estatal. A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própria Lei nº </w:t>
      </w:r>
      <w:hyperlink r:id="rId20" w:tooltip="Lei nº 9.637, de 15 de maio de 1998.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9.637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/98 menciona expressamente o termo fomento em diversos de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 xml:space="preserve">seus dispositivos, como se vê de seus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arts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. 5º, 6º, parágrafo único, e 8º, bem como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diretamente da denominação da Seção V – Do fomento às Atividades Sociais da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 xml:space="preserve">Lei, integrada pelos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arts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. 11 a 15. Não há, assim, risco de sucateamento dos setores,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 xml:space="preserve">que, pela só previsão em lei desse marco regulatório do terceiro setor, não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serão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colocados à margem do controle do Estado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Portanto, o Poder Público não renunciou aos seus deveres constitucionais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atuação nas áreas de saúde, educação, proteção ao meio ambiente, patrimônio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histórico e acesso à ciência, mas apenas colocou em prática uma opção válida por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intervir de forma indireta para o cumprimento de tais deveres, através do fomento 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da regulação. Na essência, preside a execução deste programa de ação a lógica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que a atuação privada será mais eficiente do que a pública em determinados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domínios, dada a agilidade e a flexibilidade que dominam o regime de direito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privado. Ademais, a lei não exige que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o Estado saia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de cena como um vetor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necessário. Decidiu-o, é verdade, com relação a duas concretas entidades públicas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mencionadas no art. 21, extinguindo-as e determinando a transferência de recursos,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através de contratos de gestão a serem firmados à época, para entidades privadas.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Porém, essas decisões específicas tomadas pelo legislador não são, repita-se, uma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imposição de um modelo perene de atuação do Poder Público, que pela só edição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>da Lei nº </w:t>
      </w:r>
      <w:hyperlink r:id="rId21" w:tooltip="Lei nº 9.637, de 15 de maio de 1998.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9.637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/98 não se vê obrigado a repeti-lo em hipóteses similares. Ao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contrário, a opção pelo atingimento dos resultados através do fomento, e não 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intervenção direta, ficará a cargo, em cada setor, dos mandatários eleitos pelo povo,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que assim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refletirão,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como é próprio às democracias constitucionais, a vontade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prevalecente em um dado momento histórico da sociedade.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” 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18. A decisão da Corte Suprema, portanto, entendeu como legítima a opção pela atuação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indireta da Administração Pública nos “serviços públicos sociais não privativos”, entre 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quais se insere a saúde, mantendo, todavia, o direcionamento da atividade por meio 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fomento e da regulação.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19. Registrou, inclusive, que a medida da prestação indireta é decisão atribuída aos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representantes eleitos pela sociedade, condicionada ao alcance dos resultados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constitucionalmente previstos.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20. Transportando os argumentos exarados em controle abstrato para a situação concreta,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é possível visualizar que a celebração do contrato de gestão entre o Município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Uberlândia e a OS Missão Sal da Terra observou as balizas definidas na decisão 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Supremo Tribunal Federal, haja vista a definição, pelo ente público, das atividades 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serem exercidas e dos resultados almejados, prevendo amiúde os indicadores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eficiência, os métodos de aferição do desempenho e as sanções premiais, todos próprios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da natureza da atuação mediante fomento.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21. A documentação acostada demonstra, também, que a fiscalização da execução foi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norteada por essas diretrizes, sendo que parte dos pagamentos realizados era variável, na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medida em que as metas eram cumpridas integral ou apenas parcialmente.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22. Assim, há que se reconhecer que, embora tenha transferido integralmente a operação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das atividades desenvolvidas na UAI Pampulha e nas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UAPSFs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do setor sul, incluindo 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gerenciamento necessário ao seu funcionamento, a definição dos objetivos e 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mensuração do alcance dos resultados continuaram sob o poder da Administração local, 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que demonstra a sua atuação como gestor primeiro da saúde do Município e diretor das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políticas públicas da área, papel do qual não abriu mão em favor do particular.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23. Com efeito, sob a égide da decisão vinculante do STF, não remanescem dúvidas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acerca da legalidade da prestação indireta dos serviços que constituíram objeto 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contrato de gestão de que aqui se trata,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motivo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pelo qual revisamos nosso posicionamento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adotado em momento anterior.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Nesse mesmo sentido o entendimento já exarado em enunciado do Tribunal de Contas 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União – TCU, proferido em acórdão 2057/2016 – Plenário, na sessão de 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>10/08/2016: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 utilização de contratos de gestão com organizações sociais para a prestação de serviços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públicos de saúde é opção discricionária do governante.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Também é possível observar o mesmo entendimento em acórdão desta Corte de Contas,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publicado em 06/06/2017: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REPRESENTAÇÃO. CONVÊNIO. GERENCIAMENTO DE UNIDADE PÚBLICA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SAÚDE POR INSTITUIÇÃO PRIVADA SEM FINS LUCRATIVOS. AUSÊNCIA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IRREGULARIDADE. RECOMENDAÇÕES. ARQUIVAMENTO.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1. Verificando-se que, embora a administração da unidade pública de saúde tenha sido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transferida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a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instituição privada no instrumento de convênio, previu-se a responsabilidade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do poder público pela supervisão e avaliação dos serviços prestados, pode-se concluir,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por meio de uma análise formal do convênio, que não houve a abdicação do poder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público do seu dever constitucional de resguardar aos cidadãos o direito à saúde.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2. Quando houver mais de uma entidade privada sem fins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lucrativos apta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a cumprir 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objeto do convênio, recomenda-se ao poder público que a celebração do convênio seja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precedida de procedimento seletivo, norteado pelos princípios da impessoalidade,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isonomia, publicidade e obtenção da proposta mais vantajosa, cabendo ao poder público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motivar as hipóteses em que o procedimento seletivo deixar de ser realizado.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3. Quando ocorrer a transferência à iniciativa privada do gerenciamento de serviços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públicos, recomenda-se ao poder público que seja realizado estudo capaz de demonstrar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objetivamente que o regime de parceria com a iniciativa privada se revela mais vantajoso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do que a sua atuação isolada na prestação dos serviços (grifos nossos).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Constata-se, portanto, em consonância com o exposto pelo Ministério Público de Contas, que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não há óbices à prestação indireta dos serviços públicos de saúde por Organizações Sociais.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II. 2 – Da dispensa de Licitação nº 482/2009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II. 2.1 – Da necessidade de licitação para a celebração de contrato de gestão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Apresento, in litteris, manifestação do Ministério Público de Contas acerca da desnecessidade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 licitação para a celebração de contrato de gestão: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24. Por ocasião da manifestação ministerial preliminar, alinhamo-nos à tese que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sustentava a necessidade de realização de procedimento licitatório previamente à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celebração de contrato de gestão com OS, registrando que a matéria era discutida na ADI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1923/DF, à época ainda pendente de julgamento.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25. Como destacado no tópico antecedente, com o advento da decisão de mérito na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 xml:space="preserve">referida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ADI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 xml:space="preserve">, o Supremo Tribunal Federal colocou pá de cal sobre o assunto, 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lastRenderedPageBreak/>
        <w:t>decidindo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que, para a celebração de contrato de gestão com OS, não é necessária a realização de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licitação, bastando que o procedimento para sua escolha seja pautado nos princípios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basilares informadores da Administração Pública, descritos no art. </w:t>
      </w:r>
      <w:hyperlink r:id="rId22" w:tooltip="Artigo 3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37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, caput, da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</w:r>
      <w:hyperlink r:id="rId23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Constituição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 da República.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 xml:space="preserve">26. Eis, mais uma vez, os termos do voto lançado pelo Min. Luiz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Fux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, redator para 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acórdão, acatado pelo Plenário: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“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 xml:space="preserve">Ora, no conteúdo do contrato de gestão, segundo os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arts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. 12 e 14 da Lei, pode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figurar a previsão de repasse de bens, recursos e servidores públicos. Esses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repasses pelo Poder Público, como é evidente, constituem bens escassos, que, ao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contrário da mera qualificação como organização social, não estariam disponíveis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para todo e qualquer interessado que se apresentasse à Administração Pública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manifestando o interesse em executar os serviços sociais. Diante de um cenário de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escassez, que, por consequência, leva à exclusão de particulares com a mesma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pretensão, todos almejando a posição subjetiva de parceiro privado no contrato de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gestão, impõe-se que o Poder Público conduza a celebração do contrato de gestão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por um procedimento público impessoal e pautado por critérios objetivos, ainda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que, repita-se, sem os rigores formais da licitação tal como concebida pela Lei nº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8666/93 em concretização do art. </w:t>
      </w:r>
      <w:hyperlink r:id="rId24" w:tooltip="Artigo 3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37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, </w:t>
      </w:r>
      <w:hyperlink r:id="rId25" w:tooltip="Inciso XXI do Artigo 3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XXI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, da </w:t>
      </w:r>
      <w:hyperlink r:id="rId26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CF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, cuja aplicabilidade ao caso,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reitere-se, é de se ter por rejeitada diante da natureza do vínculo instrumentalizado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pelo contrato de gestão.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[...]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 xml:space="preserve">Por identidade de razões, mesmo a dispensa de licitação instituída no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art.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fldChar w:fldCharType="begin"/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instrText xml:space="preserve"> HYPERLINK "http://www.jusbrasil.com.br/topicos/11311492/artigo-24-da-lei-n-8666-de-21-de-junho-de-1993" \o "Artigo 24 da Lei nº 8.666 de 21 de Junho de 1993" </w:instrTex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fldChar w:fldCharType="separate"/>
      </w:r>
      <w:r w:rsidRPr="00966256">
        <w:rPr>
          <w:rFonts w:ascii="Arial" w:eastAsia="Times New Roman" w:hAnsi="Arial" w:cs="Arial"/>
          <w:color w:val="0275D8"/>
          <w:spacing w:val="2"/>
          <w:highlight w:val="yellow"/>
          <w:lang w:eastAsia="pt-BR"/>
        </w:rPr>
        <w:t>24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fldChar w:fldCharType="end"/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4, 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</w:r>
      <w:hyperlink r:id="rId27" w:tooltip="Inciso XXIV do Artigo 24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XXIV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, da Lei nº</w:t>
      </w:r>
      <w:hyperlink r:id="rId28" w:tooltip="Lei nº 8.666, de 21 de junho de 1993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8.666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6/93 deve observar os princípios constitucionais. Em primeiro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lugar, tal dispositivo não é, em abstrato, inconstitucional. A dispensa de licitação aí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instituída tem uma finalidade que a doutrina contemporânea denomina de função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regulatória da licitação, através da qual a licitação passa a ser também vista como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mecanismo de indução de determinadas práticas sociais benéficas, desde que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observado o postulado da proporcionalidade. [...]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Ou seja, a finalidade da dispensa criada pela Lei nº </w:t>
      </w:r>
      <w:hyperlink r:id="rId29" w:tooltip="Lei nº 9.648, de 27 de maio de 1998.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9.648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/98, ao incluir o inc.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</w:r>
      <w:hyperlink r:id="rId30" w:tooltip="Inciso XXIV do Artigo 24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XXIV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 no art. </w:t>
      </w:r>
      <w:hyperlink r:id="rId31" w:tooltip="Artigo 24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24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 da Lei nº </w:t>
      </w:r>
      <w:hyperlink r:id="rId32" w:tooltip="Lei nº 8.666, de 21 de junho de 1993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8.666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/93, foi fomentar a atuação de organizações sociais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que já ostentem, à época da contratação, o título de qualificação, e que por isso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sejam reconhecidamente colaboradoras do Poder Público no desempenho dos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deveres constitucionais de atuação nos serviços sociais. É a própria finalidade de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 xml:space="preserve">fomento, portanto, prevista nos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arts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. </w:t>
      </w:r>
      <w:hyperlink r:id="rId33" w:tooltip="Artigo 174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174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, </w:t>
      </w:r>
      <w:hyperlink r:id="rId34" w:tooltip="Artigo 199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199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, </w:t>
      </w:r>
      <w:hyperlink r:id="rId35" w:tooltip="Parágrafo 2 Artigo 199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§ 2º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, e </w:t>
      </w:r>
      <w:hyperlink r:id="rId36" w:tooltip="Artigo 213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213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 da </w:t>
      </w:r>
      <w:hyperlink r:id="rId37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highlight w:val="yellow"/>
            <w:lang w:eastAsia="pt-BR"/>
          </w:rPr>
          <w:t>CF</w:t>
        </w:r>
      </w:hyperlink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, que legitima a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nova hipótese de dispensa, como concretização de um tratamento desigual fundado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 xml:space="preserve">em critério objetivo e razoável de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desequiparação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t>, como meio de atingir uma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finalidade constitucional – a prestação eficiente dos serviços sociais”.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27. Em face da interpretação conferida pelo Pretório Excelso, imperioso rever 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entendimento esposado outrora, uma vez que, segundo a leitura jurisprudencial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vinculante, a celebração de contrato de gestão independe de realização de licitação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em sentido estrito, estando condicionada, porém, à observância do núcleo essencial </w:t>
      </w:r>
      <w:r w:rsidRPr="00966256">
        <w:rPr>
          <w:rFonts w:ascii="Arial" w:eastAsia="Times New Roman" w:hAnsi="Arial" w:cs="Arial"/>
          <w:color w:val="373A3C"/>
          <w:spacing w:val="2"/>
          <w:highlight w:val="yellow"/>
          <w:lang w:eastAsia="pt-BR"/>
        </w:rPr>
        <w:br/>
        <w:t>dos princípios da Administração Pública.</w:t>
      </w:r>
      <w:bookmarkStart w:id="0" w:name="_GoBack"/>
      <w:bookmarkEnd w:id="0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28. Nessa linha, como o Município de Uberlândia, ainda que sob a denominação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“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dispensa de licitação”, promoveu procedimento seletivo público, oportunizando 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participação de todos os interessados e fundamentando sua escolha segundo 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>critérios de melhor técnica e preço, de modo semelhante a uma licitação, tem-se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por observados os comandos da ADI nº 1923/DF, no que toca à obediência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aos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princípios administrativos, notadamente a impessoalidade e a publicidade.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Como bem exposto pelo parquet de Contas, com a decisão da ADI 1923/DF, o Supremo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Tribunal Federal firmou entendimento em defesa da desnecessidade de licitação para 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celebração de contrato de gestão, bastando que o procedimento para sua escolha seja pautado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nos princípios basilares informadores da Administração Pública, descritos no art. </w:t>
      </w:r>
      <w:hyperlink r:id="rId38" w:tooltip="Artigo 3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37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caput,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da </w:t>
      </w:r>
      <w:hyperlink r:id="rId39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Constituição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da República.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Assim, como no caso em análise na presente denúncia foi realizado o Processo Seletivo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Organização Social nº 482/2009 (seleção por técnica e preço) (fls. 115/232), em respeito aos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princípios administrativos constantes do art. </w:t>
      </w:r>
      <w:hyperlink r:id="rId40" w:tooltip="Artigo 3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37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caput, da </w:t>
      </w:r>
      <w:hyperlink r:id="rId41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Constituição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da República, não foi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constatada irregularidade no que concerne a este tópico.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II. 2.2 – Da ausência de pareceres jurídicos acerca das minutas de edital de contrato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Quanto à ausência de pareceres jurídicos acerca das minutas de edital de contrato o Ministério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Público de Contas de manifestou nos seguintes termos: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29. Apontou a Unidade Técnica que o processo seletivo para contratação da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OS Missão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Sal da Terra não contou com pareceres jurídicos acerca das minutas de edital e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contrato, infringindo, por isso, o art. 38, VI e parágrafo único, da Lei nº </w:t>
      </w:r>
      <w:hyperlink r:id="rId42" w:tooltip="Lei nº 8.666,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8.666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de 1993.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30. Em contraposição, as defesas asseveraram que as referidas peças foram submetidas ao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crivo jurídico, sendo aprovadas por meio de vistos apostos ao seu final.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31. Como bem posto pela 4ª CFM, a Lei nº </w:t>
      </w:r>
      <w:hyperlink r:id="rId43" w:tooltip="Lei nº 8.666,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8.666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de 1993, exige o exame e a aprovação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pela área jurídica dos editais e dos contratos dela decorrentes, porém o faz expressamente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 relação ao “procedimento de licitação”, conforme consta do caput do art. </w:t>
      </w:r>
      <w:hyperlink r:id="rId44" w:tooltip="Artigo 38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38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32. Considerando que, nos termos da decisão (vinculante) do STF, a celebração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contrato de gestão prescinde de realização de licitação propriamente dita, bastando um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procedimento público impessoal e pautado em critérios objetivos, entendemos não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incidirem as formalidades procedimentais criadas especificamente para a licitação,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especialmente quando não haja prejuízo para a observância desse núcleo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principiológico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essencial.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33. Ademais, na situação em tela, houve avaliação dos atos pelo setor jurídico 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Município, que, inclusive, visou-os, demonstrando não ter estado ausente durante 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processo de contratação, ainda que com metodologia diversa da exigida para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procedimentos formais.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 xml:space="preserve">34. Desse modo, por entender que a exigência do art. 38,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VI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e parágrafo único, da Lei nº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8.666, de 1993, diz respeito ao procedimento de licitação, dispensável para os casos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celebração de contrato de gestão, deixamos de acompanhar o apontamento da Unidade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Técnica e manifestamos pela ausência de irregularidade neste ponto.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Como bem exposto pelo parquet de Contas, após decisão da ADI 1923/DF pelo STF, restou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estabelecida a desnecessidade de realização de procedimento licitatório para a celebração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contrato de gestão. Nesse sentido, não é exigível a observância a todos os ditames da Lei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hyperlink r:id="rId45" w:tooltip="Lei nº 8.666,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8.666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/93.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Ressalta-se, como afirmado pelo Ministério Público de Contas, que embora o processo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seletivo para contratação da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OS Missão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Sal da Terra não tenha contado com pareceres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jurídicos acerca das minutas de edital e de contrato, o setor jurídico do Município avaliou 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atos, visando-os.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Não se vislumbra, portanto, quanto ao presente tópico, nenhuma irregularidade.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II. 2.3 – Do orçamento detalhado em planilha de composição de custos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Quanto ao orçamento detalhado em planilha de composição de custos o Ministério Público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Contas se manifestou nos seguintes termos: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35. A 4ª CFM questionou, também, a ausência na fase interna de orçamento em que fosse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detalhada a composição dos custos dos serviços transferidos por força do contrato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gestão, em desacordo com o art. </w:t>
      </w:r>
      <w:hyperlink r:id="rId46" w:tooltip="Artigo 7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7º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 </w:t>
      </w:r>
      <w:hyperlink r:id="rId47" w:tooltip="Parágrafo 2 Artigo 7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§ 2º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 </w:t>
      </w:r>
      <w:hyperlink r:id="rId48" w:tooltip="Inciso II do Parágrafo 2 do Artigo 7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II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e </w:t>
      </w:r>
      <w:hyperlink r:id="rId49" w:tooltip="Parágrafo 9 Artigo 7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§ 9º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c/c art. </w:t>
      </w:r>
      <w:hyperlink r:id="rId50" w:tooltip="Artigo 40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40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 </w:t>
      </w:r>
      <w:hyperlink r:id="rId51" w:tooltip="Parágrafo 2 Artigo 40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§ 2º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 </w:t>
      </w:r>
      <w:hyperlink r:id="rId52" w:tooltip="Inciso II do Parágrafo 2 do Artigo 40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II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da Lei nº </w:t>
      </w:r>
      <w:hyperlink r:id="rId53" w:tooltip="Lei nº 8.666,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8.666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1993. 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36. Acerca do assunto, as defesas argumentaram, em síntese, que o Termo de Referência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definiu detalhadamente os serviços que deveriam ser executados, o que permitiu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às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interessadas o completo dimensionamento do objeto e, por conseguinte, os encargos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esperados para a sua consecução. Alegaram, ainda, que as Unidades cujas gestões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estavam sendo transferidas já estavam em operação nos anos anteriores, motivo pelo qual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 Administração municipal tinha conhecimento prévio dos custos envolvidos na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transação.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37. De fato, da fase interna do certame consta a estimativa de preço (fl. 578) no valor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total de R$ 2.207.000,00, desacompanhada de cotações, orçamentos, contratos anteriores,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>tabelas dos SUS ou quaisquer elementos que conduzam ao custo então estimado.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38. Nessa situação, entendemos caber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as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mesmas considerações do item anterior, no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sentido de que os dispositivos legais indicados pela Unidade Técnica veiculam exigências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direcionadas a procedimentos licitatórios em sentido estrito, que, por isso, não têm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incidência, ao menos direta, na situação em tela.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39. Se as disposições que regulamentam a licitação não são aplicáveis, a priori, aos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contratos de gestão, em face da decisão proferida na ADI nº 1923/DF, não se pode olvidar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que o núcleo essencial dos princípios da Administração Pública, destacados no art. </w:t>
      </w:r>
      <w:hyperlink r:id="rId54" w:tooltip="Artigo 3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37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caput, da </w:t>
      </w:r>
      <w:hyperlink r:id="rId55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Constituição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da República, sempre se fará presente, ainda que sem a definição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 regras e formas específicas, mas com um norte para a conduta do gestor público.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40. Assim, sob o prisma da moralidade e da eficiência, não se concebe a transferência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significativo volume de recursos públicos para a prestação indireta de serviços públicos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 caráter social, sem que antes tenha se procedido à séria e fidedigna aferição dos custos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envolvidos nessas atividades.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41. Ao administrar bens que pertencem à coletividade, o gestor público assume 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obrigação de fazê-lo com a melhor relação custo-benefício, traduzida no conceito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eficiência, cuja demonstração pela via documental é imprescindível, seja para motivar 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decisão administrativa, seja para possibilitar o controle e a responsabilização, pautando-se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na ideia de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accountability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e do republicanismo, que orientam não apenas o microssistema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licitatório, mas toda a atuação do Estado.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42. Dispensar essa comprovação de paridade entre o custo e os recursos repassados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corresponde à absoluta ausência de noções de controle e responsabilidade, incompatíveis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com o Estado Democrático e a soberania popular.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43. Por esses motivos, entendemos que a estimativa de fl. 578 deveria necessariamente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estar acompanhada de documentos que comprovassem a razoabilidade do valor que ali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constou, sendo insuficiente a mera declaração unilateral de que aquele é o custo 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serviço.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44. É certo que os custos apurados nos anos anteriores para a manutenção da mesma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estrutura, como alegado pela defesa, constituem importante baliza para eventual pesquisa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de preços. Ocorre, porém, que não há qualquer documento que corrobore tal 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>assertiva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dentro do procedimento administrativo que resultou na celebração do contrato de gestão.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45. Dessa forma, reforçamos o apontamento da Unidade Técnica neste ponto, pela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irregularidade da ausência de orçamento que embase a estimativa de preço, sujeitando à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aplicação de multa o Sr. Gladstone Rodrigues da Cunha Filho, então Secretário Municipal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 Saúde.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Embora as disposições que regulamentam a licitação não sejam aplicáveis, a priori, em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conformidade com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a ADI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nº 1923/DF, os princípios da Administração Pública, destacados no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art. </w:t>
      </w:r>
      <w:hyperlink r:id="rId56" w:tooltip="Artigo 3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37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caput, da </w:t>
      </w:r>
      <w:hyperlink r:id="rId57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Constituição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da República devem ser observados.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Nesse sentido, a ausência de um orçamento detalhado em planilha de composição de custos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ofende o princípio da publicidade ao não permitir o completo dimensionamento do objeto 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contrato de gestão, o que pode ser capaz de restringir a participação de organizações sociais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nos processos seletivos para a prestação dos serviços de saúde no Município.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Dessa forma, concordo com os posicionamentos do órgão técnico e do Ministério Público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Contas pela irregularidade da ausência de orçamento que embase a estimativa de preço,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devendo ser aplicada multa ao Sr. Gladstone Rodrigues da Cunha Filho, então Secretário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Municipal de Saúde, em razão da inobservância dos princípios da publicidade e da ampla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competitividade.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II. 2.4 – Da vigência contratual em desacordo com a previsão do edital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No que se refere à vigência contratura em desacordo com a previsão do edital, apresento 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manifestação do Ministério Público de Contas, in litteris: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46. A 4ª CFM impugnou, ainda, a divergência entre a previsão para vigência contratual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constante da minuta de contrato (até 31/12/2009) e a constante do contrato de gestão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celebrado (03/10/2009 a 31/12/2010), registrando que tal ação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inobservou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o art. </w:t>
      </w:r>
      <w:hyperlink r:id="rId58" w:tooltip="Artigo 54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54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 </w:t>
      </w:r>
      <w:hyperlink r:id="rId59" w:tooltip="Parágrafo 2 Artigo 54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§ 2º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da Lei nº </w:t>
      </w:r>
      <w:hyperlink r:id="rId60" w:tooltip="Lei nº 8.666,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8.666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de 1993.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47. As defesas, por seu turno, ponderaram que, à época da publicação do edital, o Plano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Plurianual, que previa a referida despesa, ainda não havia sido aprovado, o que ocorreu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durante a realização do processo seletivo. Argumentaram, ainda, que a relevância dos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serviços e o vulto dos investimentos inerentes à sua prestação não justificavam 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>contratação por apenas três meses.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48. Com efeito, verificou-se a contradição na vigência contratual prevista na minuta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contrato e no instrumento celebrado, situação que não se afigura consentânea com as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formalidades próprias da Administração Pública.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49. Há que se reconhecer, contudo, que são pertinentes os argumentos da defesa, haja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vista a continuidade dos serviços, a sua relevância do ponto de vista social e 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necessidade de investimentos para a prestação de serviços, inclusive com a seleção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pública de pessoal e a aquisição de equipamentos, o que tornaria inviável o curto prazo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vigência previsto na minuta de contrato.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50. Ademais, ao ser contemplado pelo Plano Plurianual do Município, foi possível que 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serviço fosse contratado por período superior a um exercício financeiro, nos termos 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art. </w:t>
      </w:r>
      <w:hyperlink r:id="rId61" w:tooltip="Artigo 16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167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 </w:t>
      </w:r>
      <w:hyperlink r:id="rId62" w:tooltip="Parágrafo 1 Artigo 16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§ 1º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da </w:t>
      </w:r>
      <w:hyperlink r:id="rId63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Constituição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 da República, in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verbis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: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Art. 167. São vedados: [...] § 1º Nenhum investimento cuja execução ultrapasse um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exercício financeiro poderá ser iniciado sem prévia inclusão no plano plurianual,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ou sem lei que autorize a inclusão,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sob pena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de crime de responsabilidade.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51. Deste modo, em que pese não observar a melhor técnica, entendemos que as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circunstâncias concretas justificaram a divergência entre os prazos de vigência, não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subsistindo razão para penalização dos gestores à época do ocorrido, embora seja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conveniente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a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recomendação à autoridade municipal para que evite essa conduta.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Além dos argumentos apresentados pelo Ministério Público de Contas, ressalta-se que,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embora tenha havido divergência entre a previsão para vigência contratual constante 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minuta de contrato (até 31/12/2009) e a constante do contrato de gestão celebrado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(03/10/2009 a 31/12/2010), não se vislumbra prejuízo à administração pública a aos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princípios que a regem.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II. 2.5 – Da subjetividade dos critérios de julgamento da proposta técnica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Quanto à subjetividade dos critérios de julgamento da proposta técnica o Ministério Público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 Contas se manifestou nos seguintes termos: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52. Outro questionamento da Unidade Técnica se refere à subjetividade dos critérios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julgamento da proposta técnica, uma vez que a pontuação em cada item variava dentro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um intervalo, dentro do qual não seria possível aos participantes ou aos órgãos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controle aferir a nota técnica atribuída a cada proposta.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53. Os agentes públicos citados apresentaram, em suas defesas, a Matriz de Avaliação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Objetiva, que constituiu anexo do instrumento convocatório, em que foram previstas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todas as variáveis consideradas pela Comissão Técnica, defendendo que não havia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margem para subjetividade.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>54. Neste ponto, há que se reconhecer que o Termo de Referência descreveu amiúde 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elementos que deveriam constar da proposta técnica, sendo que a Comissão Técnica,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fato, justificou objetivamente todas as notas, inclusive identificando cada informação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faltante que resultou na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despontuação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55. Ao se considerar, como feito e repetido acima, que o procedimento para a escolha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OS para celebração de contrato de gestão não corresponde ipsis litteris a uma licitação,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bastando que se oriente pelos princípios informadores da Administração, entendemos que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os critérios de julgamento adotados atendem ao modelo mais flexível de competição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aplicável ao caso, conforme, repita-se, decidido pelo Supremo Tribunal Federal na ADI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nº 1923/DF.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56. Por isso, entendemos que a Matriz de Avaliação utilizada não prejudicou 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observância dos princípios da impessoalidade e da objetividade, estando em consonância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com a metodologia proposta para a celebração de contratos de gestão, motivo pelo qual,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 nossa ótica, não subsiste a irregularidade.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Diante do exposto, reitero os argumentos apresentados pelo Ministério Público de Contas,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pela inexistência de irregularidade quanto aos critérios de julgamento da proposta técnica.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II. 2.6 – Da publicação resumida dos contratos e termos aditivos, e do seu arquivamento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conjunto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Quanto à publicação resumida dos contratos e termos aditivos e do seu arquivamento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conjunto, o Ministério Público de Consta manifestou-se no seguinte sentido: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57. Por fim, 4ª CFM entendeu ser irregular a ausência de comprovação de publicação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resumida do contrato de gestão e de seus termos aditivos. Também indicou a afronta ao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art. </w:t>
      </w:r>
      <w:hyperlink r:id="rId64" w:tooltip="Artigo 38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38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 </w:t>
      </w:r>
      <w:hyperlink r:id="rId65" w:tooltip="Inciso X do Artigo 38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X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c/c o art. </w:t>
      </w:r>
      <w:hyperlink r:id="rId66" w:tooltip="Artigo 60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60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caput, ambos da Lei nº </w:t>
      </w:r>
      <w:hyperlink r:id="rId67" w:tooltip="Lei nº 8.666,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8.666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de 1993, em virtude de 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comprovantes de contabilização da despesa terem feito referência aos termos aditivos,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embora estes não tenham sido encaminhados.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58. Foram demonstradas as publicações dos extratos na imprensa oficial, sendo que,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segundo o reexame pela Unidade Técnica, a irregularidade teria sido apenas parcialmente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saneada, uma vez que, em relação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aos TA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nº 5 e 6, as publicações de fls. 3.062/3.063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diriam respeito a outros procedimentos licitatórios.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59. A despeito da ressalva feita pela 4ª CFM, em nosso entender a documentação 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>juntada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demonstra a publicação de todos os termos aditivos, inclusive o 5º e o 6º.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60. Isso porque, em análise dos documentos de fls. 3.062/3.063, verifica-se a publicação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faz referência ao Contrato de Gestão nº 616/2009, exatamente o tratado nos presentes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autos, indicando a mesma OS contratada, o mesmo objeto – distinguindo, inclusive, as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Unidades de Saúde atendidas – e o prazo de vigência conexo com a execução contratual.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61. Portanto, parece-nos que a indicação de Concorrência ou de Dispensa diferentes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constitui erro material, uma vez que todas as outras informações apresentam coerência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com o contrato de gestão em tela. Aliás, no que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pertine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ao 6º TA, faz-se referência à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Dispensa nº 696/2013, que, por ser posterior ao ano de 2009, não poderia ter dado azo à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celebração do Contrato nº 616/2009.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62. Destarte, à vista da instrução complementar, manifestamo-nos pela improcedência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desse apontamento.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Diante do exposto, reitero a manifestação do Ministério Público de Contas, manifestando-me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pela regularidade quanto à publicação resumida dos contratos e termos aditivos.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Ressalta-se que, embora o art. </w:t>
      </w:r>
      <w:hyperlink r:id="rId68" w:tooltip="Artigo 61 da Lei nº 8.666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61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da Lei </w:t>
      </w:r>
      <w:hyperlink r:id="rId69" w:tooltip="Lei nº 8.666, de 21 de junho de 1993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8.666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/93 estabeleça prazos para que as publicações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no Diário Oficial sejam realizadas e, conforme tabela apresentada pelo Órgão Técnico à fl.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3.563, houve atraso de 429 (quatrocentos e vinte e nove) dias na publicação do contrato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gestão, 60 (sessenta) dias na publicação do 1º Termo Aditivo, 57 (cinquenta e sete) dias na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publicação do 2º Termo Aditivo, 184 (cento e oitenta e quatro) dias no 3º Termo Aditivo, 10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(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dez) dias no 9º Termo Aditivo e 32 (trinta e dois) dias no 10º Termo Aditivo, não é possível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exigir a observância aos ditames da citada lei, tendo em vista a decisão da ADI 1923/DF.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II. 3 – Do Processo Seletivo nº 01/2010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 presente denúncia teve início para a apuração de possíveis irregularidades no processo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seletivo nº 01/2010 e, a esse respeito, o Ministério Público de Contas se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manifestou nos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seguintes termos: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63. As impugnações ao Processo Seletivo se originaram da peça inicial, em que 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Denunciante manifestou seu inconformismo com a ausência de exigência de inscrição dos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técnicos em radiologia no Conselho de Classe, bem como com a incompatibilidade 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>entre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 edital e a Lei nº </w:t>
      </w:r>
      <w:hyperlink r:id="rId70" w:tooltip="Lei no 7.394, de 29 de outubro de 1985.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7.394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de 1985, no que concerne à remuneração e à jornada de trabalho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desses profissionais.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64. Em que pese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a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análise empreendida na fase inicial do processo, é certo que, a partir 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leitura feita pelo Supremo Tribunal Federal na ADI nº 1923/DF, a abordagem da matéria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assume feição diversa.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65. Isso porque, segundo a decisão em controle abstrato, os empregados das OS observam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 regime integralmente privado, seja para sua seleção, para sua remuneração e para o seu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regime jurídico, decorrência lógica da própria natureza jurídica da OS.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66. É exatamente o que destaca o seguinte excerto do voto aprovado pelo Plenário 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Corte Suprema, in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verbis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: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“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Com efeito, e com a devida vênia dos que pensam em sentido contrário, não há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como vislumbrar qualquer violação, na Lei das Organizações Sociais, aos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princípios constitucionais que regem a remuneração dos servidores públicos. 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empregados das Organizações Sociais não são servidores públicos, mas sim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empregados privados. Por isso, sua remuneração não deve ter base em lei, mas sim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nos contratos de trabalho firmados consensualmente. Já o procedimento de seleção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 pessoal, da mesma forma como a contratação de obras e serviços, deve, sim, ser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posto em prática de modo impessoal e objetivo, porém sem os rigores do concurso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público. Se a OS não é entidade da administração indireta, pois não se enquadra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nem no conceito de empresa pública, de sociedade de economia mista, nem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fundações públicas, nem do de autarquias, já que não é de qualquer modo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controlada pelo poder público, não há com incidir a regra do art. </w:t>
      </w:r>
      <w:hyperlink r:id="rId71" w:tooltip="Artigo 3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37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 </w:t>
      </w:r>
      <w:hyperlink r:id="rId72" w:tooltip="Inciso II do Artigo 3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II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da </w:t>
      </w:r>
      <w:hyperlink r:id="rId73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CF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.”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67. Assim, tratando-se de seleção para trabalhadores submetidos ao regime celetista,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promovida por entidade não pertencente à Administração Pública, verifica-se que 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vínculo a ser estabelecido entre essas partes é eminentemente privado, por meio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contrato de trabalho que não conta com a interveniência estatal.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68. Se a relação entre trabalhador e empregador, nessa situação, estabelecesse por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completo entre particulares, entendemos que a discussão acerca da remuneração e 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jornada de trabalho foge à jurisdição desta Corte de Contas, por não exprimir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propriamente um ato de gestão de recursos públicos, com aspectos contábeis, financeiros,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orçamentários, operacionais ou patrimoniais da Administração Pública, que dão a tônica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da competência fiscalizatória dos Tribunais de Contas.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69. A competência atribuída aos órgãos da Justiça do Trabalho, ao revés, abarca de modo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claro o debate pretendido pelo Conselho Regional de Técnicos em Radiologia, na medida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>em que o art. 114, </w:t>
      </w:r>
      <w:hyperlink r:id="rId74" w:tooltip="Inciso I do Artigo 114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I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da </w:t>
      </w:r>
      <w:hyperlink r:id="rId75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Constituição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da República lhes confere o processamento e 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julgamento das “ações oriundas das relações de trabalho”.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70. Deste modo, em relação aos questionamentos que imputam irregularidade ao Processo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Seletivo nº 01/2010, que objetiva selecionar empregados para a OS Missão Sal da Terra,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sob o regime celetista, todos direcionados aos direitos e requisitos para exercício 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profissão de Técnico em Radiologia, entendemos não constituírem matéria sujeita ao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controle externo da gestão de recursos públicos que incumbe a esta Corte de Contas, 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que se infere a ausência de interesse de agir, sob a modalidade da adequação, como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condição necessária ao processamento do feito, dando azo, portanto, ao seu arquivamento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com fundamento no art. 176, III, do Regimento Interno.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 fato, com a decisão proferida pelo STF na ADI nº 1923/DF, restou pacificada 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possibilidade de que a seleção de pessoal pela Organização Social não necessite de concurso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público.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Assim, reitero os argumentos apresentados pelo Ministério Público de Contas, pela ausência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 interesse de agir desta Corte quanto às possíveis irregularidades nos contratos de trabalho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firmados pela Organização Social, visto se tratar de relação de direito privado.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III – CONCLUSÃO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Diante do exposto, tendo em vista a decisão proferida pelo STF na ADI nº 1923/DF, as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Organizações Sociais podem prestar serviços de saúde sem que seja necessária a realização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licitação para sua seleção.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Entretanto, deve haver processo seletivo que respeite os princípios do art. </w:t>
      </w:r>
      <w:hyperlink r:id="rId76" w:tooltip="Artigo 3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37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caput da </w:t>
      </w:r>
      <w:hyperlink r:id="rId77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CF/88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com consequente publicação de orçamento detalhado em planilha de composição de custos,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devendo, portanto, ser aplicada multa ao então Secretário Municipal da Saúde,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Sr.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Gladstone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Rodrigues da Cunha Filho, no valor de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R$5.000,00 (cinco mil reais), com fundamento no art. 85, II, da Lei Complementar Estadual nº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102/08, em razão da inobservância dos princípios 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publicidade e da ampla competitividade.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Além disso, ainda que não seja necessária a realização de concurso público para a seleção 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pessoal pela Organização Social, deve ser conduzida de forma pública, objetiva e impessoal,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com observância dos princípios do caput do art. </w:t>
      </w:r>
      <w:hyperlink r:id="rId78" w:tooltip="Artigo 3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37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da </w:t>
      </w:r>
      <w:hyperlink r:id="rId79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CF/88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Tendo em vista as alegadas irregularidades nos contratos de trabalho firmados pela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Organização Social, encaminhem-se as notas taquigráficas deste voto ao Ministério 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>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Trabalho e Emprego – MTE, para possível averiguação.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Cumpram-se as disposições regimentais pertinentes.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ACÓRDÃO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Vistos, relatados e discutidos estes autos, ACORDAM os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Exmos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. Srs. Conselheiros da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Segunda Câmara, por unanimidade, diante das razões expendidas no voto do Relator, em: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I) aplicar multa ao então Secretário Municipal da Saúde, Sr. Gladstone Rodrigues da Cunha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Filho, no valor de R$5.000,00 (cinco mil reais), com fundamento no art. 85, II, da Lei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Complementar Estadual nº 102/08, em razão da inobservância dos princípios da publicidade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e da ampla competitividade, pois, embora a decisão proferida pelo STF na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ADI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nº 1923/DF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afirme que as Organizações Sociais podem prestar serviços de saúde sem que seja necessária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a realização de licitação para sua seleção, deve haver processo seletivo que respeite os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princípios do art. </w:t>
      </w:r>
      <w:hyperlink r:id="rId80" w:tooltip="Artigo 3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37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caput, da </w:t>
      </w:r>
      <w:hyperlink r:id="rId81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CF/88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, com consequente publicação de orçamento detalhado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em planilha de composição de custos e, além disso, ainda que não seja necessária a realização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 concurso público para a seleção de pessoal pela Organização Social, tal procedimento deve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ser conduzido de forma pública, objetiva e impessoal, com observância dos princípios do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caput do art. </w:t>
      </w:r>
      <w:hyperlink r:id="rId82" w:tooltip="Artigo 37 da Constituição Federa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37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da </w:t>
      </w:r>
      <w:hyperlink r:id="rId83" w:tooltip="CONSTITUIÇÃO DA REPÚBLICA FEDERATIVA DO BRASIL DE 1988" w:history="1">
        <w:r w:rsidRPr="00966256">
          <w:rPr>
            <w:rFonts w:ascii="Arial" w:eastAsia="Times New Roman" w:hAnsi="Arial" w:cs="Arial"/>
            <w:color w:val="0275D8"/>
            <w:spacing w:val="2"/>
            <w:lang w:eastAsia="pt-BR"/>
          </w:rPr>
          <w:t>CF/88</w:t>
        </w:r>
      </w:hyperlink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; II) determinar o encaminhamento de cópia do inteiro teor desta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decisão ao Ministério do Trabalho e Emprego – MTE, para possível averiguação, e 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cumprimento das disposições regimentais </w:t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pertinentes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Votaram, nos termos acima, o Conselheiro Gilberto Diniz e o Conselheiro Substituto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Hamilton Coelho. Declarada a suspeição do Conselheiro Wanderley Ávila.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 xml:space="preserve">Presente à sessão a Subprocuradora-Geral 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Elke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 xml:space="preserve"> Andrade Soares de Moura.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Plenário Governador Milton Campos, 09 de novembro de 2017.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WANDERLEY ÁVILA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Presidente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JOSÉ ALVES VIANA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Relator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proofErr w:type="gram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(</w:t>
      </w:r>
      <w:proofErr w:type="gram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assinado eletronicamente)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jc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/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ms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/</w:t>
      </w:r>
      <w:proofErr w:type="spellStart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fg</w:t>
      </w:r>
      <w:proofErr w:type="spellEnd"/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t>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CERTIDÃO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Certifico que a Súmula desse Acórdão foi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disponibilizada no Diário Oficial de Contas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 ___/___/______, para ciência das partes.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Tribunal de Contas, ___/___/_____.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lastRenderedPageBreak/>
        <w:t>_________________________________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Coord. de Sistematização, Publicação das </w:t>
      </w:r>
      <w:r w:rsidRPr="00966256">
        <w:rPr>
          <w:rFonts w:ascii="Arial" w:eastAsia="Times New Roman" w:hAnsi="Arial" w:cs="Arial"/>
          <w:color w:val="373A3C"/>
          <w:spacing w:val="2"/>
          <w:lang w:eastAsia="pt-BR"/>
        </w:rPr>
        <w:br/>
        <w:t>Deliberações e Jurisprudência </w:t>
      </w:r>
    </w:p>
    <w:sectPr w:rsidR="00966256" w:rsidRPr="00966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3803"/>
    <w:multiLevelType w:val="multilevel"/>
    <w:tmpl w:val="3164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56"/>
    <w:rsid w:val="00966256"/>
    <w:rsid w:val="00CC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5918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8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94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66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26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7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1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usbrasil.com.br/topicos/10653854/artigo-197-da-constitui%C3%A7%C3%A3o-federal-de-1988" TargetMode="External"/><Relationship Id="rId18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26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39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21" Type="http://schemas.openxmlformats.org/officeDocument/2006/relationships/hyperlink" Target="http://www.jusbrasil.com.br/legislacao/107122/lei-9637-98" TargetMode="External"/><Relationship Id="rId34" Type="http://schemas.openxmlformats.org/officeDocument/2006/relationships/hyperlink" Target="http://www.jusbrasil.com.br/topicos/10653066/artigo-199-da-constitui%C3%A7%C3%A3o-federal-de-1988" TargetMode="External"/><Relationship Id="rId42" Type="http://schemas.openxmlformats.org/officeDocument/2006/relationships/hyperlink" Target="http://www.jusbrasil.com.br/legislacao/1027021/lei-de-licita%C3%A7%C3%B5es-lei-8666-93" TargetMode="External"/><Relationship Id="rId47" Type="http://schemas.openxmlformats.org/officeDocument/2006/relationships/hyperlink" Target="http://www.jusbrasil.com.br/topicos/11317176/par%C3%A1grafo-2-artigo-7-da-lei-n-8666-de-21-de-junho-de-1993" TargetMode="External"/><Relationship Id="rId50" Type="http://schemas.openxmlformats.org/officeDocument/2006/relationships/hyperlink" Target="http://www.jusbrasil.com.br/topicos/11307167/artigo-40-da-lei-n-8666-de-21-de-junho-de-1993" TargetMode="External"/><Relationship Id="rId55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63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68" Type="http://schemas.openxmlformats.org/officeDocument/2006/relationships/hyperlink" Target="http://www.jusbrasil.com.br/topicos/11301268/artigo-61-da-lei-n-8666-de-21-de-junho-de-1993" TargetMode="External"/><Relationship Id="rId76" Type="http://schemas.openxmlformats.org/officeDocument/2006/relationships/hyperlink" Target="http://www.jusbrasil.com.br/topicos/2186546/artigo-37-da-constitui%C3%A7%C3%A3o-federal-de-1988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www.jusbrasil.com.br/legislacao/1027021/lei-de-licita%C3%A7%C3%B5es-lei-8666-93" TargetMode="External"/><Relationship Id="rId71" Type="http://schemas.openxmlformats.org/officeDocument/2006/relationships/hyperlink" Target="http://www.jusbrasil.com.br/topicos/2186546/artigo-37-da-constitui%C3%A7%C3%A3o-federal-de-198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29" Type="http://schemas.openxmlformats.org/officeDocument/2006/relationships/hyperlink" Target="http://www.jusbrasil.com.br/legislacao/1033910/lei-9648-98" TargetMode="External"/><Relationship Id="rId11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24" Type="http://schemas.openxmlformats.org/officeDocument/2006/relationships/hyperlink" Target="http://www.jusbrasil.com.br/topicos/2186546/artigo-37-da-constitui%C3%A7%C3%A3o-federal-de-1988" TargetMode="External"/><Relationship Id="rId32" Type="http://schemas.openxmlformats.org/officeDocument/2006/relationships/hyperlink" Target="http://www.jusbrasil.com.br/legislacao/1027021/lei-de-licita%C3%A7%C3%B5es-lei-8666-93" TargetMode="External"/><Relationship Id="rId37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40" Type="http://schemas.openxmlformats.org/officeDocument/2006/relationships/hyperlink" Target="http://www.jusbrasil.com.br/topicos/2186546/artigo-37-da-constitui%C3%A7%C3%A3o-federal-de-1988" TargetMode="External"/><Relationship Id="rId45" Type="http://schemas.openxmlformats.org/officeDocument/2006/relationships/hyperlink" Target="http://www.jusbrasil.com.br/legislacao/1027021/lei-de-licita%C3%A7%C3%B5es-lei-8666-93" TargetMode="External"/><Relationship Id="rId53" Type="http://schemas.openxmlformats.org/officeDocument/2006/relationships/hyperlink" Target="http://www.jusbrasil.com.br/legislacao/1027021/lei-de-licita%C3%A7%C3%B5es-lei-8666-93" TargetMode="External"/><Relationship Id="rId58" Type="http://schemas.openxmlformats.org/officeDocument/2006/relationships/hyperlink" Target="http://www.jusbrasil.com.br/topicos/11303391/artigo-54-da-lei-n-8666-de-21-de-junho-de-1993" TargetMode="External"/><Relationship Id="rId66" Type="http://schemas.openxmlformats.org/officeDocument/2006/relationships/hyperlink" Target="http://www.jusbrasil.com.br/topicos/11301349/artigo-60-da-lei-n-8666-de-21-de-junho-de-1993" TargetMode="External"/><Relationship Id="rId74" Type="http://schemas.openxmlformats.org/officeDocument/2006/relationships/hyperlink" Target="http://www.jusbrasil.com.br/topicos/10682006/inciso-i-do-artigo-114-da-constitui%C3%A7%C3%A3o-federal-de-1988" TargetMode="External"/><Relationship Id="rId79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jusbrasil.com.br/topicos/10662220/artigo-167-da-constitui%C3%A7%C3%A3o-federal-de-1988" TargetMode="External"/><Relationship Id="rId82" Type="http://schemas.openxmlformats.org/officeDocument/2006/relationships/hyperlink" Target="http://www.jusbrasil.com.br/topicos/2186546/artigo-37-da-constitui%C3%A7%C3%A3o-federal-de-1988" TargetMode="External"/><Relationship Id="rId19" Type="http://schemas.openxmlformats.org/officeDocument/2006/relationships/hyperlink" Target="http://www.jusbrasil.com.br/legislacao/109501/lei-9790-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14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22" Type="http://schemas.openxmlformats.org/officeDocument/2006/relationships/hyperlink" Target="http://www.jusbrasil.com.br/topicos/2186546/artigo-37-da-constitui%C3%A7%C3%A3o-federal-de-1988" TargetMode="External"/><Relationship Id="rId27" Type="http://schemas.openxmlformats.org/officeDocument/2006/relationships/hyperlink" Target="http://www.jusbrasil.com.br/topicos/11310683/inciso-xxiv-do-artigo-24-da-lei-n-8666-de-21-de-junho-de-1993" TargetMode="External"/><Relationship Id="rId30" Type="http://schemas.openxmlformats.org/officeDocument/2006/relationships/hyperlink" Target="http://www.jusbrasil.com.br/topicos/11310683/inciso-xxiv-do-artigo-24-da-lei-n-8666-de-21-de-junho-de-1993" TargetMode="External"/><Relationship Id="rId35" Type="http://schemas.openxmlformats.org/officeDocument/2006/relationships/hyperlink" Target="http://www.jusbrasil.com.br/topicos/10652979/par%C3%A1grafo-2-artigo-199-da-constitui%C3%A7%C3%A3o-federal-de-1988" TargetMode="External"/><Relationship Id="rId43" Type="http://schemas.openxmlformats.org/officeDocument/2006/relationships/hyperlink" Target="http://www.jusbrasil.com.br/legislacao/1027021/lei-de-licita%C3%A7%C3%B5es-lei-8666-93" TargetMode="External"/><Relationship Id="rId48" Type="http://schemas.openxmlformats.org/officeDocument/2006/relationships/hyperlink" Target="http://www.jusbrasil.com.br/topicos/11317110/inciso-ii-do-par%C3%A1grafo-2-do-artigo-7-da-lei-n-8666-de-21-de-junho-de-1993" TargetMode="External"/><Relationship Id="rId56" Type="http://schemas.openxmlformats.org/officeDocument/2006/relationships/hyperlink" Target="http://www.jusbrasil.com.br/topicos/2186546/artigo-37-da-constitui%C3%A7%C3%A3o-federal-de-1988" TargetMode="External"/><Relationship Id="rId64" Type="http://schemas.openxmlformats.org/officeDocument/2006/relationships/hyperlink" Target="http://www.jusbrasil.com.br/topicos/11307667/artigo-38-da-lei-n-8666-de-21-de-junho-de-1993" TargetMode="External"/><Relationship Id="rId69" Type="http://schemas.openxmlformats.org/officeDocument/2006/relationships/hyperlink" Target="http://www.jusbrasil.com.br/legislacao/1027021/lei-de-licita%C3%A7%C3%B5es-lei-8666-93" TargetMode="External"/><Relationship Id="rId77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8" Type="http://schemas.openxmlformats.org/officeDocument/2006/relationships/hyperlink" Target="http://www.jusbrasil.com.br/topicos/2186546/artigo-37-da-constitui%C3%A7%C3%A3o-federal-de-1988" TargetMode="External"/><Relationship Id="rId51" Type="http://schemas.openxmlformats.org/officeDocument/2006/relationships/hyperlink" Target="http://www.jusbrasil.com.br/topicos/11306460/par%C3%A1grafo-2-artigo-40-da-lei-n-8666-de-21-de-junho-de-1993" TargetMode="External"/><Relationship Id="rId72" Type="http://schemas.openxmlformats.org/officeDocument/2006/relationships/hyperlink" Target="http://www.jusbrasil.com.br/topicos/10712324/inciso-ii-do-artigo-37-da-constitui%C3%A7%C3%A3o-federal-de-1988" TargetMode="External"/><Relationship Id="rId80" Type="http://schemas.openxmlformats.org/officeDocument/2006/relationships/hyperlink" Target="http://www.jusbrasil.com.br/topicos/2186546/artigo-37-da-constitui%C3%A7%C3%A3o-federal-de-1988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www.jusbrasil.com.br/topicos/654265/artigo-195-da-constitui%C3%A7%C3%A3o-federal-de-1988" TargetMode="External"/><Relationship Id="rId17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25" Type="http://schemas.openxmlformats.org/officeDocument/2006/relationships/hyperlink" Target="http://www.jusbrasil.com.br/topicos/10711282/inciso-xxi-do-artigo-37-da-constitui%C3%A7%C3%A3o-federal-de-1988" TargetMode="External"/><Relationship Id="rId33" Type="http://schemas.openxmlformats.org/officeDocument/2006/relationships/hyperlink" Target="http://www.jusbrasil.com.br/topicos/10659704/artigo-174-da-constitui%C3%A7%C3%A3o-federal-de-1988" TargetMode="External"/><Relationship Id="rId38" Type="http://schemas.openxmlformats.org/officeDocument/2006/relationships/hyperlink" Target="http://www.jusbrasil.com.br/topicos/2186546/artigo-37-da-constitui%C3%A7%C3%A3o-federal-de-1988" TargetMode="External"/><Relationship Id="rId46" Type="http://schemas.openxmlformats.org/officeDocument/2006/relationships/hyperlink" Target="http://www.jusbrasil.com.br/topicos/11317369/artigo-7-da-lei-n-8666-de-21-de-junho-de-1993" TargetMode="External"/><Relationship Id="rId59" Type="http://schemas.openxmlformats.org/officeDocument/2006/relationships/hyperlink" Target="http://www.jusbrasil.com.br/topicos/11303318/par%C3%A1grafo-2-artigo-54-da-lei-n-8666-de-21-de-junho-de-1993" TargetMode="External"/><Relationship Id="rId67" Type="http://schemas.openxmlformats.org/officeDocument/2006/relationships/hyperlink" Target="http://www.jusbrasil.com.br/legislacao/1027021/lei-de-licita%C3%A7%C3%B5es-lei-8666-93" TargetMode="External"/><Relationship Id="rId20" Type="http://schemas.openxmlformats.org/officeDocument/2006/relationships/hyperlink" Target="http://www.jusbrasil.com.br/legislacao/107122/lei-9637-98" TargetMode="External"/><Relationship Id="rId41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54" Type="http://schemas.openxmlformats.org/officeDocument/2006/relationships/hyperlink" Target="http://www.jusbrasil.com.br/topicos/2186546/artigo-37-da-constitui%C3%A7%C3%A3o-federal-de-1988" TargetMode="External"/><Relationship Id="rId62" Type="http://schemas.openxmlformats.org/officeDocument/2006/relationships/hyperlink" Target="http://www.jusbrasil.com.br/topicos/10661731/par%C3%A1grafo-1-artigo-167-da-constitui%C3%A7%C3%A3o-federal-de-1988" TargetMode="External"/><Relationship Id="rId70" Type="http://schemas.openxmlformats.org/officeDocument/2006/relationships/hyperlink" Target="http://www.jusbrasil.com.br/legislacao/110494/lei-7394-85" TargetMode="External"/><Relationship Id="rId75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83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jusbrasil.com.br/legislacao/1027021/lei-de-licita%C3%A7%C3%B5es-lei-8666-93" TargetMode="External"/><Relationship Id="rId15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23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28" Type="http://schemas.openxmlformats.org/officeDocument/2006/relationships/hyperlink" Target="http://www.jusbrasil.com.br/legislacao/1027021/lei-de-licita%C3%A7%C3%B5es-lei-8666-93" TargetMode="External"/><Relationship Id="rId36" Type="http://schemas.openxmlformats.org/officeDocument/2006/relationships/hyperlink" Target="http://www.jusbrasil.com.br/topicos/10648844/artigo-213-da-constitui%C3%A7%C3%A3o-federal-de-1988" TargetMode="External"/><Relationship Id="rId49" Type="http://schemas.openxmlformats.org/officeDocument/2006/relationships/hyperlink" Target="http://www.jusbrasil.com.br/topicos/11316836/par%C3%A1grafo-9-artigo-7-da-lei-n-8666-de-21-de-junho-de-1993" TargetMode="External"/><Relationship Id="rId57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10" Type="http://schemas.openxmlformats.org/officeDocument/2006/relationships/hyperlink" Target="http://www.jusbrasil.com.br/topicos/2186546/artigo-37-da-constitui%C3%A7%C3%A3o-federal-de-1988" TargetMode="External"/><Relationship Id="rId31" Type="http://schemas.openxmlformats.org/officeDocument/2006/relationships/hyperlink" Target="http://www.jusbrasil.com.br/topicos/11311492/artigo-24-da-lei-n-8666-de-21-de-junho-de-1993" TargetMode="External"/><Relationship Id="rId44" Type="http://schemas.openxmlformats.org/officeDocument/2006/relationships/hyperlink" Target="http://www.jusbrasil.com.br/topicos/11307667/artigo-38-da-lei-n-8666-de-21-de-junho-de-1993" TargetMode="External"/><Relationship Id="rId52" Type="http://schemas.openxmlformats.org/officeDocument/2006/relationships/hyperlink" Target="http://www.jusbrasil.com.br/topicos/11306384/inciso-ii-do-par%C3%A1grafo-2-do-artigo-40-da-lei-n-8666-de-21-de-junho-de-1993" TargetMode="External"/><Relationship Id="rId60" Type="http://schemas.openxmlformats.org/officeDocument/2006/relationships/hyperlink" Target="http://www.jusbrasil.com.br/legislacao/1027021/lei-de-licita%C3%A7%C3%B5es-lei-8666-93" TargetMode="External"/><Relationship Id="rId65" Type="http://schemas.openxmlformats.org/officeDocument/2006/relationships/hyperlink" Target="http://www.jusbrasil.com.br/topicos/11307375/inciso-x-do-artigo-38-da-lei-n-8666-de-21-de-junho-de-1993" TargetMode="External"/><Relationship Id="rId73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78" Type="http://schemas.openxmlformats.org/officeDocument/2006/relationships/hyperlink" Target="http://www.jusbrasil.com.br/topicos/2186546/artigo-37-da-constitui%C3%A7%C3%A3o-federal-de-1988" TargetMode="External"/><Relationship Id="rId81" Type="http://schemas.openxmlformats.org/officeDocument/2006/relationships/hyperlink" Target="http://www.jusbrasil.com.br/legislacao/188546065/constitui%C3%A7%C3%A3o-federal-constitui%C3%A7%C3%A3o-da-republica-federativa-do-brasil-198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9257</Words>
  <Characters>49988</Characters>
  <Application>Microsoft Office Word</Application>
  <DocSecurity>0</DocSecurity>
  <Lines>416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59127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Pinheiro Silva</dc:creator>
  <cp:lastModifiedBy>Carla Pinheiro Silva</cp:lastModifiedBy>
  <cp:revision>1</cp:revision>
  <dcterms:created xsi:type="dcterms:W3CDTF">2018-12-05T12:18:00Z</dcterms:created>
  <dcterms:modified xsi:type="dcterms:W3CDTF">2018-12-05T12:26:00Z</dcterms:modified>
</cp:coreProperties>
</file>