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04F" w:rsidRDefault="00C2704F" w:rsidP="00C2704F">
      <w:pPr>
        <w:shd w:val="clear" w:color="auto" w:fill="FFFFFF"/>
        <w:spacing w:after="0" w:line="240" w:lineRule="auto"/>
        <w:outlineLvl w:val="1"/>
        <w:rPr>
          <w:rFonts w:ascii="Trebuchet MS" w:eastAsia="Times New Roman" w:hAnsi="Trebuchet MS" w:cs="Times New Roman"/>
          <w:color w:val="2E4A5A"/>
          <w:sz w:val="33"/>
          <w:szCs w:val="33"/>
          <w:lang w:eastAsia="pt-BR"/>
        </w:rPr>
      </w:pPr>
      <w:proofErr w:type="gramStart"/>
      <w:r w:rsidRPr="00C2704F">
        <w:rPr>
          <w:rFonts w:ascii="Trebuchet MS" w:eastAsia="Times New Roman" w:hAnsi="Trebuchet MS" w:cs="Times New Roman"/>
          <w:color w:val="2E4A5A"/>
          <w:sz w:val="33"/>
          <w:szCs w:val="33"/>
          <w:lang w:eastAsia="pt-BR"/>
        </w:rPr>
        <w:t>http://www.ambito-juridico.com.br/site/index.</w:t>
      </w:r>
      <w:proofErr w:type="gramEnd"/>
      <w:r w:rsidRPr="00C2704F">
        <w:rPr>
          <w:rFonts w:ascii="Trebuchet MS" w:eastAsia="Times New Roman" w:hAnsi="Trebuchet MS" w:cs="Times New Roman"/>
          <w:color w:val="2E4A5A"/>
          <w:sz w:val="33"/>
          <w:szCs w:val="33"/>
          <w:lang w:eastAsia="pt-BR"/>
        </w:rPr>
        <w:t>php?</w:t>
      </w:r>
      <w:proofErr w:type="gramStart"/>
      <w:r w:rsidRPr="00C2704F">
        <w:rPr>
          <w:rFonts w:ascii="Trebuchet MS" w:eastAsia="Times New Roman" w:hAnsi="Trebuchet MS" w:cs="Times New Roman"/>
          <w:color w:val="2E4A5A"/>
          <w:sz w:val="33"/>
          <w:szCs w:val="33"/>
          <w:lang w:eastAsia="pt-BR"/>
        </w:rPr>
        <w:t>n_link</w:t>
      </w:r>
      <w:proofErr w:type="gramEnd"/>
      <w:r w:rsidRPr="00C2704F">
        <w:rPr>
          <w:rFonts w:ascii="Trebuchet MS" w:eastAsia="Times New Roman" w:hAnsi="Trebuchet MS" w:cs="Times New Roman"/>
          <w:color w:val="2E4A5A"/>
          <w:sz w:val="33"/>
          <w:szCs w:val="33"/>
          <w:lang w:eastAsia="pt-BR"/>
        </w:rPr>
        <w:t>=revista_artigos_leitura&amp;artigo_id=6806</w:t>
      </w:r>
    </w:p>
    <w:p w:rsidR="00C2704F" w:rsidRDefault="00C2704F" w:rsidP="00C2704F">
      <w:pPr>
        <w:shd w:val="clear" w:color="auto" w:fill="FFFFFF"/>
        <w:spacing w:after="0" w:line="240" w:lineRule="auto"/>
        <w:outlineLvl w:val="1"/>
        <w:rPr>
          <w:rFonts w:ascii="Trebuchet MS" w:eastAsia="Times New Roman" w:hAnsi="Trebuchet MS" w:cs="Times New Roman"/>
          <w:color w:val="2E4A5A"/>
          <w:sz w:val="33"/>
          <w:szCs w:val="33"/>
          <w:lang w:eastAsia="pt-BR"/>
        </w:rPr>
      </w:pPr>
    </w:p>
    <w:p w:rsidR="00C2704F" w:rsidRPr="00C2704F" w:rsidRDefault="00C2704F" w:rsidP="00C2704F">
      <w:pPr>
        <w:shd w:val="clear" w:color="auto" w:fill="FFFFFF"/>
        <w:spacing w:after="0" w:line="240" w:lineRule="auto"/>
        <w:outlineLvl w:val="1"/>
        <w:rPr>
          <w:rFonts w:ascii="Trebuchet MS" w:eastAsia="Times New Roman" w:hAnsi="Trebuchet MS" w:cs="Times New Roman"/>
          <w:color w:val="2E4A5A"/>
          <w:sz w:val="33"/>
          <w:szCs w:val="33"/>
          <w:lang w:eastAsia="pt-BR"/>
        </w:rPr>
      </w:pPr>
      <w:r w:rsidRPr="00C2704F">
        <w:rPr>
          <w:rFonts w:ascii="Trebuchet MS" w:eastAsia="Times New Roman" w:hAnsi="Trebuchet MS" w:cs="Times New Roman"/>
          <w:color w:val="2E4A5A"/>
          <w:sz w:val="33"/>
          <w:szCs w:val="33"/>
          <w:lang w:eastAsia="pt-BR"/>
        </w:rPr>
        <w:t>Da possibilidade de indenização por benfeitorias em ocupação de áreas públicas</w:t>
      </w:r>
    </w:p>
    <w:p w:rsidR="00C2704F" w:rsidRPr="00C2704F" w:rsidRDefault="00C2704F" w:rsidP="00C2704F">
      <w:pPr>
        <w:shd w:val="clear" w:color="auto" w:fill="FFFFFF"/>
        <w:spacing w:after="0" w:line="240" w:lineRule="auto"/>
        <w:rPr>
          <w:rFonts w:ascii="Trebuchet MS" w:eastAsia="Times New Roman" w:hAnsi="Trebuchet MS" w:cs="Times New Roman"/>
          <w:sz w:val="18"/>
          <w:szCs w:val="18"/>
          <w:lang w:eastAsia="pt-BR"/>
        </w:rPr>
      </w:pPr>
      <w:r w:rsidRPr="00C2704F">
        <w:rPr>
          <w:rFonts w:ascii="Trebuchet MS" w:eastAsia="Times New Roman" w:hAnsi="Trebuchet MS" w:cs="Times New Roman"/>
          <w:color w:val="3A382C"/>
          <w:sz w:val="18"/>
          <w:szCs w:val="18"/>
          <w:lang w:eastAsia="pt-BR"/>
        </w:rPr>
        <w:t>Marina Nunes Vieira</w:t>
      </w:r>
    </w:p>
    <w:p w:rsidR="00C2704F" w:rsidRPr="00C2704F" w:rsidRDefault="00C2704F" w:rsidP="00C2704F">
      <w:pPr>
        <w:shd w:val="clear" w:color="auto" w:fill="FFFFFF"/>
        <w:spacing w:after="0" w:line="240" w:lineRule="auto"/>
        <w:rPr>
          <w:rFonts w:ascii="Trebuchet MS" w:eastAsia="Times New Roman" w:hAnsi="Trebuchet MS" w:cs="Times New Roman"/>
          <w:sz w:val="18"/>
          <w:szCs w:val="18"/>
          <w:lang w:eastAsia="pt-BR"/>
        </w:rPr>
      </w:pPr>
      <w:r w:rsidRPr="00C2704F">
        <w:rPr>
          <w:rFonts w:ascii="Trebuchet MS" w:eastAsia="Times New Roman" w:hAnsi="Trebuchet MS" w:cs="Times New Roman"/>
          <w:sz w:val="18"/>
          <w:szCs w:val="18"/>
          <w:lang w:eastAsia="pt-BR"/>
        </w:rPr>
        <w:t> </w:t>
      </w:r>
    </w:p>
    <w:p w:rsidR="00C2704F" w:rsidRPr="00C2704F" w:rsidRDefault="00C2704F" w:rsidP="00C2704F">
      <w:pPr>
        <w:shd w:val="clear" w:color="auto" w:fill="FFFFFF"/>
        <w:spacing w:after="0" w:line="240" w:lineRule="auto"/>
        <w:rPr>
          <w:rFonts w:ascii="Trebuchet MS" w:eastAsia="Times New Roman" w:hAnsi="Trebuchet MS" w:cs="Times New Roman"/>
          <w:sz w:val="18"/>
          <w:szCs w:val="18"/>
          <w:lang w:eastAsia="pt-BR"/>
        </w:rPr>
      </w:pPr>
      <w:hyperlink r:id="rId5" w:tooltip="Imprimir" w:history="1">
        <w:r w:rsidRPr="00C2704F">
          <w:rPr>
            <w:rFonts w:ascii="Trebuchet MS" w:eastAsia="Times New Roman" w:hAnsi="Trebuchet MS" w:cs="Times New Roman"/>
            <w:color w:val="8A0000"/>
            <w:sz w:val="18"/>
            <w:szCs w:val="18"/>
            <w:lang w:eastAsia="pt-BR"/>
          </w:rPr>
          <w:t> </w:t>
        </w:r>
      </w:hyperlink>
      <w:r w:rsidRPr="00C2704F">
        <w:rPr>
          <w:rFonts w:ascii="Trebuchet MS" w:eastAsia="Times New Roman" w:hAnsi="Trebuchet MS" w:cs="Times New Roman"/>
          <w:sz w:val="18"/>
          <w:szCs w:val="18"/>
          <w:lang w:eastAsia="pt-BR"/>
        </w:rPr>
        <w:t xml:space="preserve"> </w:t>
      </w:r>
      <w:r w:rsidRPr="00C2704F">
        <w:rPr>
          <w:rFonts w:ascii="Trebuchet MS" w:eastAsia="Times New Roman" w:hAnsi="Trebuchet MS" w:cs="Times New Roman"/>
          <w:sz w:val="18"/>
          <w:szCs w:val="18"/>
          <w:lang w:eastAsia="pt-BR"/>
        </w:rPr>
        <w:br w:type="textWrapping" w:clear="all"/>
      </w:r>
    </w:p>
    <w:p w:rsidR="00C2704F" w:rsidRPr="00C2704F" w:rsidRDefault="00C2704F" w:rsidP="00C2704F">
      <w:pPr>
        <w:shd w:val="clear" w:color="auto" w:fill="FFFFFF"/>
        <w:spacing w:after="0" w:line="240" w:lineRule="auto"/>
        <w:rPr>
          <w:rFonts w:ascii="Trebuchet MS" w:eastAsia="Times New Roman" w:hAnsi="Trebuchet MS" w:cs="Times New Roman"/>
          <w:sz w:val="18"/>
          <w:szCs w:val="18"/>
          <w:lang w:eastAsia="pt-BR"/>
        </w:rPr>
      </w:pPr>
      <w:hyperlink r:id="rId6" w:tooltip="Facebook" w:history="1">
        <w:r w:rsidRPr="00C2704F">
          <w:rPr>
            <w:rFonts w:ascii="Trebuchet MS" w:eastAsia="Times New Roman" w:hAnsi="Trebuchet MS" w:cs="Times New Roman"/>
            <w:color w:val="8A0000"/>
            <w:sz w:val="18"/>
            <w:szCs w:val="18"/>
            <w:lang w:eastAsia="pt-BR"/>
          </w:rPr>
          <w:t> </w:t>
        </w:r>
      </w:hyperlink>
      <w:hyperlink r:id="rId7" w:tooltip="Twitter" w:history="1">
        <w:r w:rsidRPr="00C2704F">
          <w:rPr>
            <w:rFonts w:ascii="Trebuchet MS" w:eastAsia="Times New Roman" w:hAnsi="Trebuchet MS" w:cs="Times New Roman"/>
            <w:color w:val="8A0000"/>
            <w:sz w:val="18"/>
            <w:szCs w:val="18"/>
            <w:lang w:eastAsia="pt-BR"/>
          </w:rPr>
          <w:t> </w:t>
        </w:r>
      </w:hyperlink>
      <w:hyperlink r:id="rId8" w:tooltip="Orkut" w:history="1">
        <w:r w:rsidRPr="00C2704F">
          <w:rPr>
            <w:rFonts w:ascii="Trebuchet MS" w:eastAsia="Times New Roman" w:hAnsi="Trebuchet MS" w:cs="Times New Roman"/>
            <w:color w:val="8A0000"/>
            <w:sz w:val="18"/>
            <w:szCs w:val="18"/>
            <w:lang w:eastAsia="pt-BR"/>
          </w:rPr>
          <w:t> </w:t>
        </w:r>
      </w:hyperlink>
    </w:p>
    <w:p w:rsidR="00C2704F" w:rsidRPr="00C2704F" w:rsidRDefault="00C2704F" w:rsidP="00C2704F">
      <w:pPr>
        <w:shd w:val="clear" w:color="auto" w:fill="FFFFFF"/>
        <w:spacing w:after="0" w:line="240" w:lineRule="auto"/>
        <w:rPr>
          <w:rFonts w:ascii="Trebuchet MS" w:eastAsia="Times New Roman" w:hAnsi="Trebuchet MS" w:cs="Times New Roman"/>
          <w:sz w:val="18"/>
          <w:szCs w:val="18"/>
          <w:lang w:eastAsia="pt-BR"/>
        </w:rPr>
      </w:pPr>
      <w:r w:rsidRPr="00C2704F">
        <w:rPr>
          <w:rFonts w:ascii="Trebuchet MS" w:eastAsia="Times New Roman" w:hAnsi="Trebuchet MS" w:cs="Times New Roman"/>
          <w:sz w:val="18"/>
          <w:szCs w:val="18"/>
          <w:lang w:eastAsia="pt-BR"/>
        </w:rPr>
        <w:br w:type="textWrapping" w:clear="all"/>
      </w:r>
    </w:p>
    <w:p w:rsidR="00C2704F" w:rsidRPr="00C2704F" w:rsidRDefault="00C2704F" w:rsidP="00C2704F">
      <w:pPr>
        <w:shd w:val="clear" w:color="auto" w:fill="FFFFFF"/>
        <w:spacing w:after="0" w:line="240" w:lineRule="auto"/>
        <w:rPr>
          <w:rFonts w:ascii="Trebuchet MS" w:eastAsia="Times New Roman" w:hAnsi="Trebuchet MS" w:cs="Times New Roman"/>
          <w:sz w:val="18"/>
          <w:szCs w:val="18"/>
          <w:lang w:eastAsia="pt-BR"/>
        </w:rPr>
      </w:pPr>
      <w:r w:rsidRPr="00C2704F">
        <w:rPr>
          <w:rFonts w:ascii="Trebuchet MS" w:eastAsia="Times New Roman" w:hAnsi="Trebuchet MS" w:cs="Times New Roman"/>
          <w:sz w:val="18"/>
          <w:szCs w:val="18"/>
          <w:lang w:eastAsia="pt-BR"/>
        </w:rPr>
        <w:t> </w:t>
      </w:r>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r w:rsidRPr="00C2704F">
        <w:rPr>
          <w:rFonts w:ascii="Trebuchet MS" w:eastAsia="Times New Roman" w:hAnsi="Trebuchet MS" w:cs="Times New Roman"/>
          <w:b/>
          <w:bCs/>
          <w:color w:val="3A382C"/>
          <w:sz w:val="18"/>
          <w:szCs w:val="18"/>
          <w:lang w:eastAsia="pt-BR"/>
        </w:rPr>
        <w:t>Resumo:</w:t>
      </w:r>
      <w:r w:rsidRPr="00C2704F">
        <w:rPr>
          <w:rFonts w:ascii="Trebuchet MS" w:eastAsia="Times New Roman" w:hAnsi="Trebuchet MS" w:cs="Times New Roman"/>
          <w:color w:val="3A382C"/>
          <w:sz w:val="18"/>
          <w:szCs w:val="18"/>
          <w:lang w:eastAsia="pt-BR"/>
        </w:rPr>
        <w:t xml:space="preserve"> O presente artigo trata da ocupação irregular de terceiros de boa-fé em área pública e a possibilidade de haver ou não indenização pelas benfeitorias efetuadas.</w:t>
      </w:r>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r w:rsidRPr="00C2704F">
        <w:rPr>
          <w:rFonts w:ascii="Trebuchet MS" w:eastAsia="Times New Roman" w:hAnsi="Trebuchet MS" w:cs="Times New Roman"/>
          <w:b/>
          <w:bCs/>
          <w:color w:val="3A382C"/>
          <w:sz w:val="18"/>
          <w:szCs w:val="18"/>
          <w:lang w:eastAsia="pt-BR"/>
        </w:rPr>
        <w:t>Sumário:</w:t>
      </w:r>
      <w:r w:rsidRPr="00C2704F">
        <w:rPr>
          <w:rFonts w:ascii="Trebuchet MS" w:eastAsia="Times New Roman" w:hAnsi="Trebuchet MS" w:cs="Times New Roman"/>
          <w:color w:val="3A382C"/>
          <w:sz w:val="18"/>
          <w:szCs w:val="18"/>
          <w:lang w:eastAsia="pt-BR"/>
        </w:rPr>
        <w:t xml:space="preserve"> </w:t>
      </w:r>
      <w:proofErr w:type="gramStart"/>
      <w:r w:rsidRPr="00C2704F">
        <w:rPr>
          <w:rFonts w:ascii="Trebuchet MS" w:eastAsia="Times New Roman" w:hAnsi="Trebuchet MS" w:cs="Times New Roman"/>
          <w:color w:val="3A382C"/>
          <w:sz w:val="18"/>
          <w:szCs w:val="18"/>
          <w:lang w:eastAsia="pt-BR"/>
        </w:rPr>
        <w:t>1</w:t>
      </w:r>
      <w:proofErr w:type="gramEnd"/>
      <w:r w:rsidRPr="00C2704F">
        <w:rPr>
          <w:rFonts w:ascii="Trebuchet MS" w:eastAsia="Times New Roman" w:hAnsi="Trebuchet MS" w:cs="Times New Roman"/>
          <w:color w:val="3A382C"/>
          <w:sz w:val="18"/>
          <w:szCs w:val="18"/>
          <w:lang w:eastAsia="pt-BR"/>
        </w:rPr>
        <w:t>. Introdução – 2. Da indenização por benfeitorias em imóvel privado – 3. Da Ocupação irregular de área pública– 4. Conclusão.</w:t>
      </w:r>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r w:rsidRPr="00C2704F">
        <w:rPr>
          <w:rFonts w:ascii="Trebuchet MS" w:eastAsia="Times New Roman" w:hAnsi="Trebuchet MS" w:cs="Times New Roman"/>
          <w:b/>
          <w:bCs/>
          <w:color w:val="3A382C"/>
          <w:sz w:val="18"/>
          <w:szCs w:val="18"/>
          <w:lang w:eastAsia="pt-BR"/>
        </w:rPr>
        <w:t>1. INTRODUÇÃO</w:t>
      </w:r>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r w:rsidRPr="00C2704F">
        <w:rPr>
          <w:rFonts w:ascii="Trebuchet MS" w:eastAsia="Times New Roman" w:hAnsi="Trebuchet MS" w:cs="Times New Roman"/>
          <w:color w:val="3A382C"/>
          <w:sz w:val="18"/>
          <w:szCs w:val="18"/>
          <w:lang w:eastAsia="pt-BR"/>
        </w:rPr>
        <w:t>O presente artigo trata da ocupação irregular de terceiros de boa-fé em área pública e a possibilidade de haver ou não indenização pelas benfeitorias efetuadas.</w:t>
      </w:r>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r w:rsidRPr="00C2704F">
        <w:rPr>
          <w:rFonts w:ascii="Trebuchet MS" w:eastAsia="Times New Roman" w:hAnsi="Trebuchet MS" w:cs="Times New Roman"/>
          <w:color w:val="3A382C"/>
          <w:sz w:val="18"/>
          <w:szCs w:val="18"/>
          <w:lang w:eastAsia="pt-BR"/>
        </w:rPr>
        <w:t>É constitucionalmente proibido que imóvel público seja usucapido, porém, a jurisprudência se divide ao denominar o ocupante de boa-fé de imóvel público de possuidor ou mero detentor. Tal diferenciação tem como alvo a possibilidade ou não de serem aplicados os ditames do Código Civil – artigos 1219 e 1220 - a respeito de indenização por benfeitorias efetuadas por possuidor de boa-fé, que, como é de conhecimento geral, aplica-se tão-só aos imóveis privados.</w:t>
      </w:r>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proofErr w:type="gramStart"/>
      <w:r w:rsidRPr="00C2704F">
        <w:rPr>
          <w:rFonts w:ascii="Trebuchet MS" w:eastAsia="Times New Roman" w:hAnsi="Trebuchet MS" w:cs="Times New Roman"/>
          <w:b/>
          <w:bCs/>
          <w:color w:val="3A382C"/>
          <w:sz w:val="18"/>
          <w:szCs w:val="18"/>
          <w:lang w:eastAsia="pt-BR"/>
        </w:rPr>
        <w:t>2.</w:t>
      </w:r>
      <w:proofErr w:type="gramEnd"/>
      <w:r w:rsidRPr="00C2704F">
        <w:rPr>
          <w:rFonts w:ascii="Trebuchet MS" w:eastAsia="Times New Roman" w:hAnsi="Trebuchet MS" w:cs="Times New Roman"/>
          <w:b/>
          <w:bCs/>
          <w:color w:val="3A382C"/>
          <w:sz w:val="18"/>
          <w:szCs w:val="18"/>
          <w:lang w:eastAsia="pt-BR"/>
        </w:rPr>
        <w:t>DA INDENIZAÇÃO POR BENFEITORIAS EM IMÓVEL PRIVADO</w:t>
      </w:r>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r w:rsidRPr="00C2704F">
        <w:rPr>
          <w:rFonts w:ascii="Trebuchet MS" w:eastAsia="Times New Roman" w:hAnsi="Trebuchet MS" w:cs="Times New Roman"/>
          <w:color w:val="3A382C"/>
          <w:sz w:val="18"/>
          <w:szCs w:val="18"/>
          <w:lang w:eastAsia="pt-BR"/>
        </w:rPr>
        <w:t xml:space="preserve">Quando se diz respeito à imóvel privado, restando comprovado pelo possuidor que se está diante de posse de boa-fé, ou seja, que há ignorância quanto aos vícios que impedem a aquisição legal da coisa, o Código Civil tutela o direito à indenização por benfeitorias no imóvel efetuadas. </w:t>
      </w:r>
      <w:proofErr w:type="gramStart"/>
      <w:r w:rsidRPr="00C2704F">
        <w:rPr>
          <w:rFonts w:ascii="Trebuchet MS" w:eastAsia="Times New Roman" w:hAnsi="Trebuchet MS" w:cs="Times New Roman"/>
          <w:color w:val="3A382C"/>
          <w:sz w:val="18"/>
          <w:szCs w:val="18"/>
          <w:lang w:eastAsia="pt-BR"/>
        </w:rPr>
        <w:t>Leia-se</w:t>
      </w:r>
      <w:proofErr w:type="gramEnd"/>
      <w:r w:rsidRPr="00C2704F">
        <w:rPr>
          <w:rFonts w:ascii="Trebuchet MS" w:eastAsia="Times New Roman" w:hAnsi="Trebuchet MS" w:cs="Times New Roman"/>
          <w:color w:val="3A382C"/>
          <w:sz w:val="18"/>
          <w:szCs w:val="18"/>
          <w:lang w:eastAsia="pt-BR"/>
        </w:rPr>
        <w:t xml:space="preserve"> benfeitorias como melhoramentos, obras, plantações, construções.</w:t>
      </w:r>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r w:rsidRPr="00C2704F">
        <w:rPr>
          <w:rFonts w:ascii="Trebuchet MS" w:eastAsia="Times New Roman" w:hAnsi="Trebuchet MS" w:cs="Times New Roman"/>
          <w:color w:val="3A382C"/>
          <w:sz w:val="18"/>
          <w:szCs w:val="18"/>
          <w:lang w:eastAsia="pt-BR"/>
        </w:rPr>
        <w:t xml:space="preserve">O possuidor de boa-fé - inquilino, comodatário, usufrutuário - terá, portanto, direito à indenização pelas benfeitorias efetuadas, porém não será por todos os tipos de benfeitorias. Será indenizado, além de poder exercer a retenção da coisa até ser ressarcido apenas quanto às necessárias e úteis, ressalvada, quanto às últimas, a necessidade de autorização expressa do proprietário, como preceitua o art. 578, do CC. </w:t>
      </w:r>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r w:rsidRPr="00C2704F">
        <w:rPr>
          <w:rFonts w:ascii="Trebuchet MS" w:eastAsia="Times New Roman" w:hAnsi="Trebuchet MS" w:cs="Times New Roman"/>
          <w:color w:val="3A382C"/>
          <w:sz w:val="18"/>
          <w:szCs w:val="18"/>
          <w:lang w:eastAsia="pt-BR"/>
        </w:rPr>
        <w:t>Ilustra a questão de forma bastante clara o professor Cesar Fiuza ao alegar que:</w:t>
      </w:r>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r w:rsidRPr="00C2704F">
        <w:rPr>
          <w:rFonts w:ascii="Trebuchet MS" w:eastAsia="Times New Roman" w:hAnsi="Trebuchet MS" w:cs="Times New Roman"/>
          <w:color w:val="3A382C"/>
          <w:sz w:val="18"/>
          <w:szCs w:val="18"/>
          <w:lang w:eastAsia="pt-BR"/>
        </w:rPr>
        <w:t xml:space="preserve">“A regra é bastante simples. O possuidor de boa-fé tem direito a ser indenizado por todas as benfeitorias necessárias e úteis. Se tomo casa emprestada, </w:t>
      </w:r>
      <w:proofErr w:type="spellStart"/>
      <w:r w:rsidRPr="00C2704F">
        <w:rPr>
          <w:rFonts w:ascii="Trebuchet MS" w:eastAsia="Times New Roman" w:hAnsi="Trebuchet MS" w:cs="Times New Roman"/>
          <w:color w:val="3A382C"/>
          <w:sz w:val="18"/>
          <w:szCs w:val="18"/>
          <w:lang w:eastAsia="pt-BR"/>
        </w:rPr>
        <w:t>restaurando-lhe</w:t>
      </w:r>
      <w:proofErr w:type="spellEnd"/>
      <w:r w:rsidRPr="00C2704F">
        <w:rPr>
          <w:rFonts w:ascii="Trebuchet MS" w:eastAsia="Times New Roman" w:hAnsi="Trebuchet MS" w:cs="Times New Roman"/>
          <w:color w:val="3A382C"/>
          <w:sz w:val="18"/>
          <w:szCs w:val="18"/>
          <w:lang w:eastAsia="pt-BR"/>
        </w:rPr>
        <w:t xml:space="preserve"> o telhado que estava a desabar, ou instalando grades nas janelas, para evitar assaltos, terei que ser indenizado pelo comodante. Ademais, poderei reter a coisa até que seja ressarcido, ou seja, poderei recusar-me a restituir a casa até ser reembolsado pelo comodante.” (FIUZA, 2008, p.875</w:t>
      </w:r>
      <w:proofErr w:type="gramStart"/>
      <w:r w:rsidRPr="00C2704F">
        <w:rPr>
          <w:rFonts w:ascii="Trebuchet MS" w:eastAsia="Times New Roman" w:hAnsi="Trebuchet MS" w:cs="Times New Roman"/>
          <w:color w:val="3A382C"/>
          <w:sz w:val="18"/>
          <w:szCs w:val="18"/>
          <w:lang w:eastAsia="pt-BR"/>
        </w:rPr>
        <w:t>)</w:t>
      </w:r>
      <w:proofErr w:type="gramEnd"/>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r w:rsidRPr="00C2704F">
        <w:rPr>
          <w:rFonts w:ascii="Trebuchet MS" w:eastAsia="Times New Roman" w:hAnsi="Trebuchet MS" w:cs="Times New Roman"/>
          <w:color w:val="3A382C"/>
          <w:sz w:val="18"/>
          <w:szCs w:val="18"/>
          <w:lang w:eastAsia="pt-BR"/>
        </w:rPr>
        <w:t>Quanto às benfeitorias voluptuárias, que visam tão-</w:t>
      </w:r>
      <w:proofErr w:type="gramStart"/>
      <w:r w:rsidRPr="00C2704F">
        <w:rPr>
          <w:rFonts w:ascii="Trebuchet MS" w:eastAsia="Times New Roman" w:hAnsi="Trebuchet MS" w:cs="Times New Roman"/>
          <w:color w:val="3A382C"/>
          <w:sz w:val="18"/>
          <w:szCs w:val="18"/>
          <w:lang w:eastAsia="pt-BR"/>
        </w:rPr>
        <w:t>só mudanças</w:t>
      </w:r>
      <w:proofErr w:type="gramEnd"/>
      <w:r w:rsidRPr="00C2704F">
        <w:rPr>
          <w:rFonts w:ascii="Trebuchet MS" w:eastAsia="Times New Roman" w:hAnsi="Trebuchet MS" w:cs="Times New Roman"/>
          <w:color w:val="3A382C"/>
          <w:sz w:val="18"/>
          <w:szCs w:val="18"/>
          <w:lang w:eastAsia="pt-BR"/>
        </w:rPr>
        <w:t xml:space="preserve"> estéticas, não aumentando ou facilitando o uso do imóvel, terá o possuidor apenas o direito de levantá-las, desde que tal não traga prejuízos à coisa.</w:t>
      </w:r>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r w:rsidRPr="00C2704F">
        <w:rPr>
          <w:rFonts w:ascii="Trebuchet MS" w:eastAsia="Times New Roman" w:hAnsi="Trebuchet MS" w:cs="Times New Roman"/>
          <w:color w:val="3A382C"/>
          <w:sz w:val="18"/>
          <w:szCs w:val="18"/>
          <w:lang w:eastAsia="pt-BR"/>
        </w:rPr>
        <w:lastRenderedPageBreak/>
        <w:t>É o que diz o art. 1219, do Código Civil:</w:t>
      </w:r>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r w:rsidRPr="00C2704F">
        <w:rPr>
          <w:rFonts w:ascii="Trebuchet MS" w:eastAsia="Times New Roman" w:hAnsi="Trebuchet MS" w:cs="Times New Roman"/>
          <w:color w:val="3A382C"/>
          <w:sz w:val="18"/>
          <w:szCs w:val="18"/>
          <w:lang w:eastAsia="pt-BR"/>
        </w:rPr>
        <w:t>“O possuidor de boa-fé tem direito à indenização das benfeitorias necessárias e úteis, bem como, quanto às voluptuárias, se não lhe forem pagas, a levantá-las, quando o puder sem detrimento da coisa, e poderá exercer o direito de retenção pelo valor das benfeitorias necessárias e úteis” (BRASIL, 2002</w:t>
      </w:r>
      <w:proofErr w:type="gramStart"/>
      <w:r w:rsidRPr="00C2704F">
        <w:rPr>
          <w:rFonts w:ascii="Trebuchet MS" w:eastAsia="Times New Roman" w:hAnsi="Trebuchet MS" w:cs="Times New Roman"/>
          <w:color w:val="3A382C"/>
          <w:sz w:val="18"/>
          <w:szCs w:val="18"/>
          <w:lang w:eastAsia="pt-BR"/>
        </w:rPr>
        <w:t>)</w:t>
      </w:r>
      <w:proofErr w:type="gramEnd"/>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r w:rsidRPr="00C2704F">
        <w:rPr>
          <w:rFonts w:ascii="Trebuchet MS" w:eastAsia="Times New Roman" w:hAnsi="Trebuchet MS" w:cs="Times New Roman"/>
          <w:color w:val="3A382C"/>
          <w:sz w:val="18"/>
          <w:szCs w:val="18"/>
          <w:lang w:eastAsia="pt-BR"/>
        </w:rPr>
        <w:t>Por sua vez, o possuidor de má-fé, aquele ocupante consciente da ilegalidade que permeia o seu ato de ocupação, terá direito de ser ressarcido apenas pelas benfeitorias necessárias, ou seja, aquelas executadas com o fim de conservar e manter o bem. Não lhe assiste o direito de retenção nem o de levantar as benfeitorias voluptuárias, como expressa o art. 1220, do Código Civil:</w:t>
      </w:r>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r w:rsidRPr="00C2704F">
        <w:rPr>
          <w:rFonts w:ascii="Trebuchet MS" w:eastAsia="Times New Roman" w:hAnsi="Trebuchet MS" w:cs="Times New Roman"/>
          <w:color w:val="3A382C"/>
          <w:sz w:val="18"/>
          <w:szCs w:val="18"/>
          <w:lang w:eastAsia="pt-BR"/>
        </w:rPr>
        <w:t>“Ao possuidor de má-fé serão ressarcidas somente as benfeitorias necessárias; não lhe assiste o direito de retenção pela importância destas, nem o de levantar as voluptuárias” (BRASIL, 2003</w:t>
      </w:r>
      <w:proofErr w:type="gramStart"/>
      <w:r w:rsidRPr="00C2704F">
        <w:rPr>
          <w:rFonts w:ascii="Trebuchet MS" w:eastAsia="Times New Roman" w:hAnsi="Trebuchet MS" w:cs="Times New Roman"/>
          <w:color w:val="3A382C"/>
          <w:sz w:val="18"/>
          <w:szCs w:val="18"/>
          <w:lang w:eastAsia="pt-BR"/>
        </w:rPr>
        <w:t>)</w:t>
      </w:r>
      <w:proofErr w:type="gramEnd"/>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r w:rsidRPr="00C2704F">
        <w:rPr>
          <w:rFonts w:ascii="Trebuchet MS" w:eastAsia="Times New Roman" w:hAnsi="Trebuchet MS" w:cs="Times New Roman"/>
          <w:color w:val="3A382C"/>
          <w:sz w:val="18"/>
          <w:szCs w:val="18"/>
          <w:lang w:eastAsia="pt-BR"/>
        </w:rPr>
        <w:t>A respeito</w:t>
      </w:r>
      <w:proofErr w:type="gramStart"/>
      <w:r w:rsidRPr="00C2704F">
        <w:rPr>
          <w:rFonts w:ascii="Trebuchet MS" w:eastAsia="Times New Roman" w:hAnsi="Trebuchet MS" w:cs="Times New Roman"/>
          <w:color w:val="3A382C"/>
          <w:sz w:val="18"/>
          <w:szCs w:val="18"/>
          <w:lang w:eastAsia="pt-BR"/>
        </w:rPr>
        <w:t>, acrescenta</w:t>
      </w:r>
      <w:proofErr w:type="gramEnd"/>
      <w:r w:rsidRPr="00C2704F">
        <w:rPr>
          <w:rFonts w:ascii="Trebuchet MS" w:eastAsia="Times New Roman" w:hAnsi="Trebuchet MS" w:cs="Times New Roman"/>
          <w:color w:val="3A382C"/>
          <w:sz w:val="18"/>
          <w:szCs w:val="18"/>
          <w:lang w:eastAsia="pt-BR"/>
        </w:rPr>
        <w:t xml:space="preserve"> o Magistrado e Professor Rafael de Menezes ao falar a respeito dos Efeitos da Posse:</w:t>
      </w:r>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r w:rsidRPr="00C2704F">
        <w:rPr>
          <w:rFonts w:ascii="Trebuchet MS" w:eastAsia="Times New Roman" w:hAnsi="Trebuchet MS" w:cs="Times New Roman"/>
          <w:color w:val="3A382C"/>
          <w:sz w:val="18"/>
          <w:szCs w:val="18"/>
          <w:lang w:eastAsia="pt-BR"/>
        </w:rPr>
        <w:t xml:space="preserve">“Já ao possuidor de má-fé se aplica o 1220, ou seja, nunca cabe direito de retenção, não pode retirar as voluptuárias e só tem direito de indenização pelas benfeitorias necessárias. Não pode nem retirar as voluptuárias até para compensar o tempo em que de má-fé ocupou a coisa e impediu sua exploração econômica pelo proprietário (= melhor possuidor).” </w:t>
      </w:r>
      <w:proofErr w:type="gramStart"/>
      <w:r w:rsidRPr="00C2704F">
        <w:rPr>
          <w:rFonts w:ascii="Trebuchet MS" w:eastAsia="Times New Roman" w:hAnsi="Trebuchet MS" w:cs="Times New Roman"/>
          <w:color w:val="3A382C"/>
          <w:sz w:val="18"/>
          <w:szCs w:val="18"/>
          <w:lang w:eastAsia="pt-BR"/>
        </w:rPr>
        <w:t xml:space="preserve">( </w:t>
      </w:r>
      <w:proofErr w:type="gramEnd"/>
      <w:r w:rsidRPr="00C2704F">
        <w:rPr>
          <w:rFonts w:ascii="Trebuchet MS" w:eastAsia="Times New Roman" w:hAnsi="Trebuchet MS" w:cs="Times New Roman"/>
          <w:color w:val="3A382C"/>
          <w:sz w:val="18"/>
          <w:szCs w:val="18"/>
          <w:lang w:eastAsia="pt-BR"/>
        </w:rPr>
        <w:t>MENEZES, 2004, p. 01)</w:t>
      </w:r>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r w:rsidRPr="00C2704F">
        <w:rPr>
          <w:rFonts w:ascii="Trebuchet MS" w:eastAsia="Times New Roman" w:hAnsi="Trebuchet MS" w:cs="Times New Roman"/>
          <w:color w:val="3A382C"/>
          <w:sz w:val="18"/>
          <w:szCs w:val="18"/>
          <w:lang w:eastAsia="pt-BR"/>
        </w:rPr>
        <w:t xml:space="preserve">Cumpre-nos ressaltar que benfeitorias não se assemelham com acessões imobiliárias. Benfeitorias, na maioria das vezes indenizáveis, previstas nos artigo 96, 97 e 1219 e seguintes, ambos do Código Civil, são melhoramentos, acréscimos sobrevindos ao bem com a intervenção do proprietário, possuidor ou detentor da coisa, com o propósito de conservar, melhorar ou simplesmente embelezar. Acessões imobiliárias, de quem cuidam os artigos 1253 e seguintes do CC, </w:t>
      </w:r>
      <w:proofErr w:type="gramStart"/>
      <w:r w:rsidRPr="00C2704F">
        <w:rPr>
          <w:rFonts w:ascii="Trebuchet MS" w:eastAsia="Times New Roman" w:hAnsi="Trebuchet MS" w:cs="Times New Roman"/>
          <w:color w:val="3A382C"/>
          <w:sz w:val="18"/>
          <w:szCs w:val="18"/>
          <w:lang w:eastAsia="pt-BR"/>
        </w:rPr>
        <w:t>são,</w:t>
      </w:r>
      <w:proofErr w:type="gramEnd"/>
      <w:r w:rsidRPr="00C2704F">
        <w:rPr>
          <w:rFonts w:ascii="Trebuchet MS" w:eastAsia="Times New Roman" w:hAnsi="Trebuchet MS" w:cs="Times New Roman"/>
          <w:color w:val="3A382C"/>
          <w:sz w:val="18"/>
          <w:szCs w:val="18"/>
          <w:lang w:eastAsia="pt-BR"/>
        </w:rPr>
        <w:t xml:space="preserve"> segundo Cesar Fiúza em “Direito Civil. Curso Completo”, 12 ed., Editora Del Rey,p.875, “ (...) todas as edificações e plantas que se agregarem ao solo artificialmente. Passarão a pertencer ao proprietário do terreno, que é o bem principal”.</w:t>
      </w:r>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r w:rsidRPr="00C2704F">
        <w:rPr>
          <w:rFonts w:ascii="Trebuchet MS" w:eastAsia="Times New Roman" w:hAnsi="Trebuchet MS" w:cs="Times New Roman"/>
          <w:color w:val="3A382C"/>
          <w:sz w:val="18"/>
          <w:szCs w:val="18"/>
          <w:lang w:eastAsia="pt-BR"/>
        </w:rPr>
        <w:t xml:space="preserve">Maria Helena Diniz, Ricardo Fiúza e outros ao tecerem comentário ao art.97 do vigente Código Civil em “Código Civil Comentado”... </w:t>
      </w:r>
      <w:proofErr w:type="gramStart"/>
      <w:r w:rsidRPr="00C2704F">
        <w:rPr>
          <w:rFonts w:ascii="Trebuchet MS" w:eastAsia="Times New Roman" w:hAnsi="Trebuchet MS" w:cs="Times New Roman"/>
          <w:color w:val="3A382C"/>
          <w:sz w:val="18"/>
          <w:szCs w:val="18"/>
          <w:lang w:eastAsia="pt-BR"/>
        </w:rPr>
        <w:t>diferenciam</w:t>
      </w:r>
      <w:proofErr w:type="gramEnd"/>
      <w:r w:rsidRPr="00C2704F">
        <w:rPr>
          <w:rFonts w:ascii="Trebuchet MS" w:eastAsia="Times New Roman" w:hAnsi="Trebuchet MS" w:cs="Times New Roman"/>
          <w:color w:val="3A382C"/>
          <w:sz w:val="18"/>
          <w:szCs w:val="18"/>
          <w:lang w:eastAsia="pt-BR"/>
        </w:rPr>
        <w:t xml:space="preserve"> da seguinte maneira:</w:t>
      </w:r>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r w:rsidRPr="00C2704F">
        <w:rPr>
          <w:rFonts w:ascii="Trebuchet MS" w:eastAsia="Times New Roman" w:hAnsi="Trebuchet MS" w:cs="Times New Roman"/>
          <w:color w:val="3A382C"/>
          <w:sz w:val="18"/>
          <w:szCs w:val="18"/>
          <w:lang w:eastAsia="pt-BR"/>
        </w:rPr>
        <w:t>“</w:t>
      </w:r>
      <w:r w:rsidRPr="00C2704F">
        <w:rPr>
          <w:rFonts w:ascii="Trebuchet MS" w:eastAsia="Times New Roman" w:hAnsi="Trebuchet MS" w:cs="Times New Roman"/>
          <w:i/>
          <w:iCs/>
          <w:color w:val="3A382C"/>
          <w:sz w:val="18"/>
          <w:szCs w:val="18"/>
          <w:lang w:eastAsia="pt-BR"/>
        </w:rPr>
        <w:t xml:space="preserve">Benfeitoria e Acessão </w:t>
      </w:r>
      <w:proofErr w:type="spellStart"/>
      <w:proofErr w:type="gramStart"/>
      <w:r w:rsidRPr="00C2704F">
        <w:rPr>
          <w:rFonts w:ascii="Trebuchet MS" w:eastAsia="Times New Roman" w:hAnsi="Trebuchet MS" w:cs="Times New Roman"/>
          <w:i/>
          <w:iCs/>
          <w:color w:val="3A382C"/>
          <w:sz w:val="18"/>
          <w:szCs w:val="18"/>
          <w:lang w:eastAsia="pt-BR"/>
        </w:rPr>
        <w:t>natural:</w:t>
      </w:r>
      <w:proofErr w:type="gramEnd"/>
      <w:r w:rsidRPr="00C2704F">
        <w:rPr>
          <w:rFonts w:ascii="Trebuchet MS" w:eastAsia="Times New Roman" w:hAnsi="Trebuchet MS" w:cs="Times New Roman"/>
          <w:i/>
          <w:iCs/>
          <w:color w:val="3A382C"/>
          <w:sz w:val="18"/>
          <w:szCs w:val="18"/>
          <w:lang w:eastAsia="pt-BR"/>
        </w:rPr>
        <w:t>Se</w:t>
      </w:r>
      <w:proofErr w:type="spellEnd"/>
      <w:r w:rsidRPr="00C2704F">
        <w:rPr>
          <w:rFonts w:ascii="Trebuchet MS" w:eastAsia="Times New Roman" w:hAnsi="Trebuchet MS" w:cs="Times New Roman"/>
          <w:i/>
          <w:iCs/>
          <w:color w:val="3A382C"/>
          <w:sz w:val="18"/>
          <w:szCs w:val="18"/>
          <w:lang w:eastAsia="pt-BR"/>
        </w:rPr>
        <w:t xml:space="preserve"> benfeitorias são obras e despesas feitas pelo homem na coisa, com o intuito de conservá-la, melhorá-la ou embelezar, claro está que não abrangem os melhoramentos (acessões naturais) sobrevindos àquela coisa sem intervenção do proprietário, possuidor ou detentor por ocorrerem de um fato natural (p. ex. o aumento de urna área de terra em razão de desvio natural de um rio).</w:t>
      </w:r>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r w:rsidRPr="00C2704F">
        <w:rPr>
          <w:rFonts w:ascii="Trebuchet MS" w:eastAsia="Times New Roman" w:hAnsi="Trebuchet MS" w:cs="Times New Roman"/>
          <w:i/>
          <w:iCs/>
          <w:color w:val="3A382C"/>
          <w:sz w:val="18"/>
          <w:szCs w:val="18"/>
          <w:lang w:eastAsia="pt-BR"/>
        </w:rPr>
        <w:t>Melhoramentos que constituem acessão natural: A acessão natural é o aumento do volume ou do valor do bem devido a forças eventuais. Assim sendo, não é indenizável, pois para sua realização o possuidor ou detentor não concorreu com seu esforço, nem com seu patrimônio. (</w:t>
      </w:r>
      <w:proofErr w:type="gramStart"/>
      <w:r w:rsidRPr="00C2704F">
        <w:rPr>
          <w:rFonts w:ascii="Trebuchet MS" w:eastAsia="Times New Roman" w:hAnsi="Trebuchet MS" w:cs="Times New Roman"/>
          <w:i/>
          <w:iCs/>
          <w:color w:val="3A382C"/>
          <w:sz w:val="18"/>
          <w:szCs w:val="18"/>
          <w:lang w:eastAsia="pt-BR"/>
        </w:rPr>
        <w:t>...)</w:t>
      </w:r>
      <w:r w:rsidRPr="00C2704F">
        <w:rPr>
          <w:rFonts w:ascii="Trebuchet MS" w:eastAsia="Times New Roman" w:hAnsi="Trebuchet MS" w:cs="Times New Roman"/>
          <w:color w:val="3A382C"/>
          <w:sz w:val="18"/>
          <w:szCs w:val="18"/>
          <w:lang w:eastAsia="pt-BR"/>
        </w:rPr>
        <w:t xml:space="preserve"> ”</w:t>
      </w:r>
      <w:proofErr w:type="gramEnd"/>
      <w:r w:rsidRPr="00C2704F">
        <w:rPr>
          <w:rFonts w:ascii="Trebuchet MS" w:eastAsia="Times New Roman" w:hAnsi="Trebuchet MS" w:cs="Times New Roman"/>
          <w:color w:val="3A382C"/>
          <w:sz w:val="18"/>
          <w:szCs w:val="18"/>
          <w:lang w:eastAsia="pt-BR"/>
        </w:rPr>
        <w:t>. ( DINIZ; FIUZA; FIGUEIRA JR.;MALUF;ALVES; ASSUNÇÃO; VELOSO;SILVA; REGIS, 2002, p.63)</w:t>
      </w:r>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highlight w:val="yellow"/>
          <w:lang w:eastAsia="pt-BR"/>
        </w:rPr>
      </w:pPr>
      <w:r w:rsidRPr="00C2704F">
        <w:rPr>
          <w:rFonts w:ascii="Trebuchet MS" w:eastAsia="Times New Roman" w:hAnsi="Trebuchet MS" w:cs="Times New Roman"/>
          <w:color w:val="3A382C"/>
          <w:sz w:val="18"/>
          <w:szCs w:val="18"/>
          <w:lang w:eastAsia="pt-BR"/>
        </w:rPr>
        <w:t xml:space="preserve">Tratando-se de possuidor de boa-fé de imóvel privado, portanto, e, a depender da espécie de benfeitoria executada e da necessidade de autorização expressa do proprietário, o Código Civil tutela o seu direito à indenização e à retenção do bem diante um possível não ressarcimento, nos casos de </w:t>
      </w:r>
      <w:r w:rsidRPr="00C2704F">
        <w:rPr>
          <w:rFonts w:ascii="Trebuchet MS" w:eastAsia="Times New Roman" w:hAnsi="Trebuchet MS" w:cs="Times New Roman"/>
          <w:color w:val="3A382C"/>
          <w:sz w:val="18"/>
          <w:szCs w:val="18"/>
          <w:highlight w:val="yellow"/>
          <w:lang w:eastAsia="pt-BR"/>
        </w:rPr>
        <w:t>benfeitorias necessárias e úteis, e, ao levantamento, tratando-se de benfeitorias voluptuárias.</w:t>
      </w:r>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highlight w:val="yellow"/>
          <w:lang w:eastAsia="pt-BR"/>
        </w:rPr>
      </w:pPr>
      <w:proofErr w:type="gramStart"/>
      <w:r w:rsidRPr="00C2704F">
        <w:rPr>
          <w:rFonts w:ascii="Trebuchet MS" w:eastAsia="Times New Roman" w:hAnsi="Trebuchet MS" w:cs="Times New Roman"/>
          <w:b/>
          <w:bCs/>
          <w:color w:val="3A382C"/>
          <w:sz w:val="18"/>
          <w:szCs w:val="18"/>
          <w:highlight w:val="yellow"/>
          <w:lang w:eastAsia="pt-BR"/>
        </w:rPr>
        <w:t>3.</w:t>
      </w:r>
      <w:proofErr w:type="gramEnd"/>
      <w:r w:rsidRPr="00C2704F">
        <w:rPr>
          <w:rFonts w:ascii="Trebuchet MS" w:eastAsia="Times New Roman" w:hAnsi="Trebuchet MS" w:cs="Times New Roman"/>
          <w:b/>
          <w:bCs/>
          <w:color w:val="3A382C"/>
          <w:sz w:val="18"/>
          <w:szCs w:val="18"/>
          <w:highlight w:val="yellow"/>
          <w:lang w:eastAsia="pt-BR"/>
        </w:rPr>
        <w:t>DA OCUPAÇÃO IRREGULAR DE ÁREA PÚBLICA</w:t>
      </w:r>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r w:rsidRPr="00C2704F">
        <w:rPr>
          <w:rFonts w:ascii="Trebuchet MS" w:eastAsia="Times New Roman" w:hAnsi="Trebuchet MS" w:cs="Times New Roman"/>
          <w:color w:val="3A382C"/>
          <w:sz w:val="18"/>
          <w:szCs w:val="18"/>
          <w:highlight w:val="yellow"/>
          <w:lang w:eastAsia="pt-BR"/>
        </w:rPr>
        <w:t>Inicialmente cumpre ressaltar que, apesar de haver tímido posicionamento jurisprudencial em sentindo oposto, a nosso ver não há que se falar em posse quando se trata de bem público, o que, consequentemente demonstra a impossibilidade de o mesmo ser usucapido, como regra os artigos 102, do CC, e, art. 183 § 3º, e, 191, PÚ, ambos da CF/88.</w:t>
      </w:r>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r w:rsidRPr="00C2704F">
        <w:rPr>
          <w:rFonts w:ascii="Trebuchet MS" w:eastAsia="Times New Roman" w:hAnsi="Trebuchet MS" w:cs="Times New Roman"/>
          <w:color w:val="3A382C"/>
          <w:sz w:val="18"/>
          <w:szCs w:val="18"/>
          <w:lang w:eastAsia="pt-BR"/>
        </w:rPr>
        <w:t>Partindo-se da premissa, portanto, que usucapião tem como principal característica a presença da posse, e, bem público não é passível de usucapião, não restam dúvidas que quem invade/ocupa área pública não é considerado possuidor, mas sim mero detentor do bem, não havendo que se falar, diante de benfeitorias ali executadas, em aplicação do Direito Privado exposto em tópico anterior.</w:t>
      </w:r>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r w:rsidRPr="00C2704F">
        <w:rPr>
          <w:rFonts w:ascii="Trebuchet MS" w:eastAsia="Times New Roman" w:hAnsi="Trebuchet MS" w:cs="Times New Roman"/>
          <w:color w:val="3A382C"/>
          <w:sz w:val="18"/>
          <w:szCs w:val="18"/>
          <w:lang w:eastAsia="pt-BR"/>
        </w:rPr>
        <w:lastRenderedPageBreak/>
        <w:t xml:space="preserve">Esse foi o entendimento da Segunda Turma do Superior Tribunal de Justiça (STJ), que, nas palavras do ilustre Ministro Herman Benjamin, ao julgar recurso especial em que se discute o direito à indenização por benfeitorias </w:t>
      </w:r>
      <w:proofErr w:type="gramStart"/>
      <w:r w:rsidRPr="00C2704F">
        <w:rPr>
          <w:rFonts w:ascii="Trebuchet MS" w:eastAsia="Times New Roman" w:hAnsi="Trebuchet MS" w:cs="Times New Roman"/>
          <w:color w:val="3A382C"/>
          <w:sz w:val="18"/>
          <w:szCs w:val="18"/>
          <w:lang w:eastAsia="pt-BR"/>
        </w:rPr>
        <w:t>realizadas em imóvel público ocupado de boa-fé</w:t>
      </w:r>
      <w:proofErr w:type="gramEnd"/>
      <w:r w:rsidRPr="00C2704F">
        <w:rPr>
          <w:rFonts w:ascii="Trebuchet MS" w:eastAsia="Times New Roman" w:hAnsi="Trebuchet MS" w:cs="Times New Roman"/>
          <w:color w:val="3A382C"/>
          <w:sz w:val="18"/>
          <w:szCs w:val="18"/>
          <w:lang w:eastAsia="pt-BR"/>
        </w:rPr>
        <w:t xml:space="preserve"> por mais de 20 anos, assim se manifestou: </w:t>
      </w:r>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r w:rsidRPr="00C2704F">
        <w:rPr>
          <w:rFonts w:ascii="Trebuchet MS" w:eastAsia="Times New Roman" w:hAnsi="Trebuchet MS" w:cs="Times New Roman"/>
          <w:color w:val="3A382C"/>
          <w:sz w:val="18"/>
          <w:szCs w:val="18"/>
          <w:lang w:eastAsia="pt-BR"/>
        </w:rPr>
        <w:t>“</w:t>
      </w:r>
      <w:r w:rsidRPr="00C2704F">
        <w:rPr>
          <w:rFonts w:ascii="Trebuchet MS" w:eastAsia="Times New Roman" w:hAnsi="Trebuchet MS" w:cs="Times New Roman"/>
          <w:i/>
          <w:iCs/>
          <w:color w:val="3A382C"/>
          <w:sz w:val="18"/>
          <w:szCs w:val="18"/>
          <w:lang w:eastAsia="pt-BR"/>
        </w:rPr>
        <w:t>Seria incoerente impor à Administração a obrigação de indenizar por imóveis irregularmente construídos que, além de não terem utilidade para o Poder Público, ensejarão dispêndio de recursos do Erário para sua demolição</w:t>
      </w:r>
      <w:proofErr w:type="gramStart"/>
      <w:r w:rsidRPr="00C2704F">
        <w:rPr>
          <w:rFonts w:ascii="Trebuchet MS" w:eastAsia="Times New Roman" w:hAnsi="Trebuchet MS" w:cs="Times New Roman"/>
          <w:i/>
          <w:iCs/>
          <w:color w:val="3A382C"/>
          <w:sz w:val="18"/>
          <w:szCs w:val="18"/>
          <w:lang w:eastAsia="pt-BR"/>
        </w:rPr>
        <w:t>”</w:t>
      </w:r>
      <w:proofErr w:type="gramEnd"/>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r w:rsidRPr="00C2704F">
        <w:rPr>
          <w:rFonts w:ascii="Trebuchet MS" w:eastAsia="Times New Roman" w:hAnsi="Trebuchet MS" w:cs="Times New Roman"/>
          <w:i/>
          <w:iCs/>
          <w:color w:val="3A382C"/>
          <w:sz w:val="18"/>
          <w:szCs w:val="18"/>
          <w:lang w:eastAsia="pt-BR"/>
        </w:rPr>
        <w:t>. “Entender de modo diverso é atribuir à detenção efeito</w:t>
      </w:r>
      <w:bookmarkStart w:id="0" w:name="_GoBack"/>
      <w:bookmarkEnd w:id="0"/>
      <w:r w:rsidRPr="00C2704F">
        <w:rPr>
          <w:rFonts w:ascii="Trebuchet MS" w:eastAsia="Times New Roman" w:hAnsi="Trebuchet MS" w:cs="Times New Roman"/>
          <w:i/>
          <w:iCs/>
          <w:color w:val="3A382C"/>
          <w:sz w:val="18"/>
          <w:szCs w:val="18"/>
          <w:lang w:eastAsia="pt-BR"/>
        </w:rPr>
        <w:t xml:space="preserve">s próprios da posse, o que enfraquece a </w:t>
      </w:r>
      <w:proofErr w:type="spellStart"/>
      <w:r w:rsidRPr="00C2704F">
        <w:rPr>
          <w:rFonts w:ascii="Trebuchet MS" w:eastAsia="Times New Roman" w:hAnsi="Trebuchet MS" w:cs="Times New Roman"/>
          <w:i/>
          <w:iCs/>
          <w:color w:val="3A382C"/>
          <w:sz w:val="18"/>
          <w:szCs w:val="18"/>
          <w:lang w:eastAsia="pt-BR"/>
        </w:rPr>
        <w:t>dominialidade</w:t>
      </w:r>
      <w:proofErr w:type="spellEnd"/>
      <w:r w:rsidRPr="00C2704F">
        <w:rPr>
          <w:rFonts w:ascii="Trebuchet MS" w:eastAsia="Times New Roman" w:hAnsi="Trebuchet MS" w:cs="Times New Roman"/>
          <w:i/>
          <w:iCs/>
          <w:color w:val="3A382C"/>
          <w:sz w:val="18"/>
          <w:szCs w:val="18"/>
          <w:lang w:eastAsia="pt-BR"/>
        </w:rPr>
        <w:t xml:space="preserve"> pública, destrói as premissas básicas do Princípio da Boa-Fé Objetiva, estimula invasões e construções ilegais, e legitima, com a garantia de indenização, a apropriação privada do espaço público</w:t>
      </w:r>
      <w:proofErr w:type="gramStart"/>
      <w:r w:rsidRPr="00C2704F">
        <w:rPr>
          <w:rFonts w:ascii="Trebuchet MS" w:eastAsia="Times New Roman" w:hAnsi="Trebuchet MS" w:cs="Times New Roman"/>
          <w:color w:val="3A382C"/>
          <w:sz w:val="18"/>
          <w:szCs w:val="18"/>
          <w:lang w:eastAsia="pt-BR"/>
        </w:rPr>
        <w:t>”</w:t>
      </w:r>
      <w:proofErr w:type="gramEnd"/>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r w:rsidRPr="00C2704F">
        <w:rPr>
          <w:rFonts w:ascii="Trebuchet MS" w:eastAsia="Times New Roman" w:hAnsi="Trebuchet MS" w:cs="Times New Roman"/>
          <w:color w:val="3A382C"/>
          <w:sz w:val="18"/>
          <w:szCs w:val="18"/>
          <w:lang w:eastAsia="pt-BR"/>
        </w:rPr>
        <w:t>Em julgado anterior, o STJ já demonstra a mesma posição:</w:t>
      </w:r>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r w:rsidRPr="00C2704F">
        <w:rPr>
          <w:rFonts w:ascii="Trebuchet MS" w:eastAsia="Times New Roman" w:hAnsi="Trebuchet MS" w:cs="Times New Roman"/>
          <w:color w:val="3A382C"/>
          <w:sz w:val="18"/>
          <w:szCs w:val="18"/>
          <w:lang w:eastAsia="pt-BR"/>
        </w:rPr>
        <w:t>“</w:t>
      </w:r>
      <w:r w:rsidRPr="00C2704F">
        <w:rPr>
          <w:rFonts w:ascii="Trebuchet MS" w:eastAsia="Times New Roman" w:hAnsi="Trebuchet MS" w:cs="Times New Roman"/>
          <w:b/>
          <w:bCs/>
          <w:color w:val="3A382C"/>
          <w:sz w:val="18"/>
          <w:szCs w:val="18"/>
          <w:lang w:eastAsia="pt-BR"/>
        </w:rPr>
        <w:t xml:space="preserve">Ementa: </w:t>
      </w:r>
      <w:r w:rsidRPr="00C2704F">
        <w:rPr>
          <w:rFonts w:ascii="Trebuchet MS" w:eastAsia="Times New Roman" w:hAnsi="Trebuchet MS" w:cs="Times New Roman"/>
          <w:color w:val="3A382C"/>
          <w:sz w:val="18"/>
          <w:szCs w:val="18"/>
          <w:lang w:eastAsia="pt-BR"/>
        </w:rPr>
        <w:t xml:space="preserve">PROCESSO CIVIL - ADMINISTRATIVO - AÇÃO DE REINTEGRAÇÃO DE POSSE - IMÓVEL FUNCIONAL - OCUPAÇÃO IRREGULAR - INEXISTÊNCIA DE POSSE - DIREITO DE RETENÇÃO E À INDENIZAÇÃO NÃO CONFIGURADA - EMBARGOS DE DECLARAÇÃO - EFEITO INFRINGENTE - VEDAÇÃO. </w:t>
      </w:r>
      <w:proofErr w:type="gramStart"/>
      <w:r w:rsidRPr="00C2704F">
        <w:rPr>
          <w:rFonts w:ascii="Trebuchet MS" w:eastAsia="Times New Roman" w:hAnsi="Trebuchet MS" w:cs="Times New Roman"/>
          <w:color w:val="3A382C"/>
          <w:sz w:val="18"/>
          <w:szCs w:val="18"/>
          <w:lang w:eastAsia="pt-BR"/>
        </w:rPr>
        <w:t>1</w:t>
      </w:r>
      <w:proofErr w:type="gramEnd"/>
      <w:r w:rsidRPr="00C2704F">
        <w:rPr>
          <w:rFonts w:ascii="Trebuchet MS" w:eastAsia="Times New Roman" w:hAnsi="Trebuchet MS" w:cs="Times New Roman"/>
          <w:color w:val="3A382C"/>
          <w:sz w:val="18"/>
          <w:szCs w:val="18"/>
          <w:lang w:eastAsia="pt-BR"/>
        </w:rPr>
        <w:t xml:space="preserve">. Embargos de declaração com nítida pretensão infringente. Acórdão que decidiu motivadamente a decisão tomada. 2. Posse é o direito reconhecido a quem se comporta como proprietário. Posse e propriedade, portanto, são institutos que caminham juntos, não havendo de se reconhecer a posse a quem, por proibição legal, não possa ser proprietário ou não possa gozar de qualquer dos poderes inerentes à propriedade. 3. </w:t>
      </w:r>
      <w:r w:rsidRPr="00C2704F">
        <w:rPr>
          <w:rFonts w:ascii="Trebuchet MS" w:eastAsia="Times New Roman" w:hAnsi="Trebuchet MS" w:cs="Times New Roman"/>
          <w:b/>
          <w:bCs/>
          <w:color w:val="3A382C"/>
          <w:sz w:val="18"/>
          <w:szCs w:val="18"/>
          <w:lang w:eastAsia="pt-BR"/>
        </w:rPr>
        <w:t xml:space="preserve">A ocupação de área pública, quando irregular, não pode ser reconhecida como posse, mas como mera detenção. </w:t>
      </w:r>
      <w:r w:rsidRPr="00C2704F">
        <w:rPr>
          <w:rFonts w:ascii="Trebuchet MS" w:eastAsia="Times New Roman" w:hAnsi="Trebuchet MS" w:cs="Times New Roman"/>
          <w:b/>
          <w:bCs/>
          <w:color w:val="3A382C"/>
          <w:sz w:val="18"/>
          <w:szCs w:val="18"/>
          <w:u w:val="single"/>
          <w:lang w:eastAsia="pt-BR"/>
        </w:rPr>
        <w:t>4. Se o direito de retenção ou de indenização pelas acessões realizadas depende da configuração da posse, não se pode, ante a consideração da inexistência desta, admitir o surgimento daqueles direitos, do que resulta na inexistência do dever de se indenizar as benfeitorias úteis e necessárias.</w:t>
      </w:r>
      <w:r w:rsidRPr="00C2704F">
        <w:rPr>
          <w:rFonts w:ascii="Trebuchet MS" w:eastAsia="Times New Roman" w:hAnsi="Trebuchet MS" w:cs="Times New Roman"/>
          <w:color w:val="3A382C"/>
          <w:sz w:val="18"/>
          <w:szCs w:val="18"/>
          <w:lang w:eastAsia="pt-BR"/>
        </w:rPr>
        <w:t xml:space="preserve"> 5. Recurso não provido”. (</w:t>
      </w:r>
      <w:proofErr w:type="spellStart"/>
      <w:proofErr w:type="gramStart"/>
      <w:r w:rsidRPr="00C2704F">
        <w:rPr>
          <w:rFonts w:ascii="Trebuchet MS" w:eastAsia="Times New Roman" w:hAnsi="Trebuchet MS" w:cs="Times New Roman"/>
          <w:color w:val="3A382C"/>
          <w:sz w:val="18"/>
          <w:szCs w:val="18"/>
          <w:lang w:eastAsia="pt-BR"/>
        </w:rPr>
        <w:t>REsp</w:t>
      </w:r>
      <w:proofErr w:type="spellEnd"/>
      <w:proofErr w:type="gramEnd"/>
      <w:r w:rsidRPr="00C2704F">
        <w:rPr>
          <w:rFonts w:ascii="Trebuchet MS" w:eastAsia="Times New Roman" w:hAnsi="Trebuchet MS" w:cs="Times New Roman"/>
          <w:color w:val="3A382C"/>
          <w:sz w:val="18"/>
          <w:szCs w:val="18"/>
          <w:lang w:eastAsia="pt-BR"/>
        </w:rPr>
        <w:t xml:space="preserve"> 863939 / RJ - Relator(a): Ministra ELIANA CALMON - Órgão Julgador: SEGUNDA TURMA - Data do Julgamento: 04/11/2008) (grifos nossos)</w:t>
      </w:r>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r w:rsidRPr="00C2704F">
        <w:rPr>
          <w:rFonts w:ascii="Trebuchet MS" w:eastAsia="Times New Roman" w:hAnsi="Trebuchet MS" w:cs="Times New Roman"/>
          <w:color w:val="3A382C"/>
          <w:sz w:val="18"/>
          <w:szCs w:val="18"/>
          <w:lang w:eastAsia="pt-BR"/>
        </w:rPr>
        <w:t xml:space="preserve">De acordo com o Código Civil, em seu art. 100, os imóveis públicos, bens de uso comum do povo e de uso especial, são inalienáveis, considerados bens fora do comércio, sendo insuscetíveis de posse por parte de ocupante particular, mesmo estando tal de boa-fé. Já em seu art. 101, o CC traz a possibilidade de alienação quanto aos bens dominicais, posto que estes </w:t>
      </w:r>
      <w:proofErr w:type="gramStart"/>
      <w:r w:rsidRPr="00C2704F">
        <w:rPr>
          <w:rFonts w:ascii="Trebuchet MS" w:eastAsia="Times New Roman" w:hAnsi="Trebuchet MS" w:cs="Times New Roman"/>
          <w:color w:val="3A382C"/>
          <w:sz w:val="18"/>
          <w:szCs w:val="18"/>
          <w:lang w:eastAsia="pt-BR"/>
        </w:rPr>
        <w:t>fazem</w:t>
      </w:r>
      <w:proofErr w:type="gramEnd"/>
      <w:r w:rsidRPr="00C2704F">
        <w:rPr>
          <w:rFonts w:ascii="Trebuchet MS" w:eastAsia="Times New Roman" w:hAnsi="Trebuchet MS" w:cs="Times New Roman"/>
          <w:color w:val="3A382C"/>
          <w:sz w:val="18"/>
          <w:szCs w:val="18"/>
          <w:lang w:eastAsia="pt-BR"/>
        </w:rPr>
        <w:t xml:space="preserve"> parte do comércio jurídico do direito privado.</w:t>
      </w:r>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r w:rsidRPr="00C2704F">
        <w:rPr>
          <w:rFonts w:ascii="Trebuchet MS" w:eastAsia="Times New Roman" w:hAnsi="Trebuchet MS" w:cs="Times New Roman"/>
          <w:color w:val="3A382C"/>
          <w:sz w:val="18"/>
          <w:szCs w:val="18"/>
          <w:lang w:eastAsia="pt-BR"/>
        </w:rPr>
        <w:t>A respeito do uso privativo dos bens de uso comum do povo e de uso especial, diz a doutrinadora Maria Sylvia Zanella Di Pietro:</w:t>
      </w:r>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r w:rsidRPr="00C2704F">
        <w:rPr>
          <w:rFonts w:ascii="Trebuchet MS" w:eastAsia="Times New Roman" w:hAnsi="Trebuchet MS" w:cs="Times New Roman"/>
          <w:color w:val="3A382C"/>
          <w:sz w:val="18"/>
          <w:szCs w:val="18"/>
          <w:lang w:eastAsia="pt-BR"/>
        </w:rPr>
        <w:t xml:space="preserve">“Os bens das duas primeiras modalidades estão fora do comércio jurídico de direito privado, de modo que só </w:t>
      </w:r>
      <w:proofErr w:type="gramStart"/>
      <w:r w:rsidRPr="00C2704F">
        <w:rPr>
          <w:rFonts w:ascii="Trebuchet MS" w:eastAsia="Times New Roman" w:hAnsi="Trebuchet MS" w:cs="Times New Roman"/>
          <w:color w:val="3A382C"/>
          <w:sz w:val="18"/>
          <w:szCs w:val="18"/>
          <w:lang w:eastAsia="pt-BR"/>
        </w:rPr>
        <w:t>podem ser</w:t>
      </w:r>
      <w:proofErr w:type="gramEnd"/>
      <w:r w:rsidRPr="00C2704F">
        <w:rPr>
          <w:rFonts w:ascii="Trebuchet MS" w:eastAsia="Times New Roman" w:hAnsi="Trebuchet MS" w:cs="Times New Roman"/>
          <w:color w:val="3A382C"/>
          <w:sz w:val="18"/>
          <w:szCs w:val="18"/>
          <w:lang w:eastAsia="pt-BR"/>
        </w:rPr>
        <w:t xml:space="preserve"> objeto de relações jurídicas regidas pelo direito público; assim, para fins de uso privativo, os instrumentos possíveis são apenas a autorização, a permissão e a concessão de uso”( DI PIETRO,2007,p.636)</w:t>
      </w:r>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r w:rsidRPr="00C2704F">
        <w:rPr>
          <w:rFonts w:ascii="Trebuchet MS" w:eastAsia="Times New Roman" w:hAnsi="Trebuchet MS" w:cs="Times New Roman"/>
          <w:color w:val="3A382C"/>
          <w:sz w:val="18"/>
          <w:szCs w:val="18"/>
          <w:lang w:eastAsia="pt-BR"/>
        </w:rPr>
        <w:t xml:space="preserve">Já quando trata a respeito da ocupação de particular em bens dominicais, observa </w:t>
      </w:r>
      <w:proofErr w:type="gramStart"/>
      <w:r w:rsidRPr="00C2704F">
        <w:rPr>
          <w:rFonts w:ascii="Trebuchet MS" w:eastAsia="Times New Roman" w:hAnsi="Trebuchet MS" w:cs="Times New Roman"/>
          <w:color w:val="3A382C"/>
          <w:sz w:val="18"/>
          <w:szCs w:val="18"/>
          <w:lang w:eastAsia="pt-BR"/>
        </w:rPr>
        <w:t>a</w:t>
      </w:r>
      <w:proofErr w:type="gramEnd"/>
      <w:r w:rsidRPr="00C2704F">
        <w:rPr>
          <w:rFonts w:ascii="Trebuchet MS" w:eastAsia="Times New Roman" w:hAnsi="Trebuchet MS" w:cs="Times New Roman"/>
          <w:color w:val="3A382C"/>
          <w:sz w:val="18"/>
          <w:szCs w:val="18"/>
          <w:lang w:eastAsia="pt-BR"/>
        </w:rPr>
        <w:t xml:space="preserve"> doutrinadora:</w:t>
      </w:r>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r w:rsidRPr="00C2704F">
        <w:rPr>
          <w:rFonts w:ascii="Trebuchet MS" w:eastAsia="Times New Roman" w:hAnsi="Trebuchet MS" w:cs="Times New Roman"/>
          <w:color w:val="3A382C"/>
          <w:sz w:val="18"/>
          <w:szCs w:val="18"/>
          <w:lang w:eastAsia="pt-BR"/>
        </w:rPr>
        <w:t xml:space="preserve">“Diversa é a situação dos bens dominicais, já que estes são coisas que estão no comércio jurídico de direito privado. </w:t>
      </w:r>
      <w:r w:rsidRPr="00C2704F">
        <w:rPr>
          <w:rFonts w:ascii="Trebuchet MS" w:eastAsia="Times New Roman" w:hAnsi="Trebuchet MS" w:cs="Times New Roman"/>
          <w:b/>
          <w:bCs/>
          <w:color w:val="3A382C"/>
          <w:sz w:val="18"/>
          <w:szCs w:val="18"/>
          <w:lang w:eastAsia="pt-BR"/>
        </w:rPr>
        <w:t>Embora possam ser cedidos aos particulares por meio dos mesmos institutos de direito público já mencionados, também podem ser objeto de contratos regidos pelo Código Civil, como a locação, o arrendamento, o comodato, a concessão de direito real de uso, a enfiteuse</w:t>
      </w:r>
      <w:r w:rsidRPr="00C2704F">
        <w:rPr>
          <w:rFonts w:ascii="Trebuchet MS" w:eastAsia="Times New Roman" w:hAnsi="Trebuchet MS" w:cs="Times New Roman"/>
          <w:color w:val="3A382C"/>
          <w:sz w:val="18"/>
          <w:szCs w:val="18"/>
          <w:lang w:eastAsia="pt-BR"/>
        </w:rPr>
        <w:t>.” (DI PIETRO, 2007, p.636</w:t>
      </w:r>
      <w:proofErr w:type="gramStart"/>
      <w:r w:rsidRPr="00C2704F">
        <w:rPr>
          <w:rFonts w:ascii="Trebuchet MS" w:eastAsia="Times New Roman" w:hAnsi="Trebuchet MS" w:cs="Times New Roman"/>
          <w:color w:val="3A382C"/>
          <w:sz w:val="18"/>
          <w:szCs w:val="18"/>
          <w:lang w:eastAsia="pt-BR"/>
        </w:rPr>
        <w:t xml:space="preserve">)( </w:t>
      </w:r>
      <w:proofErr w:type="gramEnd"/>
      <w:r w:rsidRPr="00C2704F">
        <w:rPr>
          <w:rFonts w:ascii="Trebuchet MS" w:eastAsia="Times New Roman" w:hAnsi="Trebuchet MS" w:cs="Times New Roman"/>
          <w:color w:val="3A382C"/>
          <w:sz w:val="18"/>
          <w:szCs w:val="18"/>
          <w:lang w:eastAsia="pt-BR"/>
        </w:rPr>
        <w:t>grifo nosso).</w:t>
      </w:r>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r w:rsidRPr="00C2704F">
        <w:rPr>
          <w:rFonts w:ascii="Trebuchet MS" w:eastAsia="Times New Roman" w:hAnsi="Trebuchet MS" w:cs="Times New Roman"/>
          <w:color w:val="3A382C"/>
          <w:sz w:val="18"/>
          <w:szCs w:val="18"/>
          <w:lang w:eastAsia="pt-BR"/>
        </w:rPr>
        <w:t xml:space="preserve"> Restado claro, portanto, que diante a impossibilidade de classificar o ocupante privado que não se utilizou de algum dos instrumentos autorizadores para ocupação de área pública - a autorização, a permissão e a concessão de uso - como possuidor, mas sim como mero detentor, é errôneo alegar que este teria direito à indenização por benfeitorias feitas por possuidor de boa-fé. </w:t>
      </w:r>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r w:rsidRPr="00C2704F">
        <w:rPr>
          <w:rFonts w:ascii="Trebuchet MS" w:eastAsia="Times New Roman" w:hAnsi="Trebuchet MS" w:cs="Times New Roman"/>
          <w:color w:val="3A382C"/>
          <w:sz w:val="18"/>
          <w:szCs w:val="18"/>
          <w:lang w:eastAsia="pt-BR"/>
        </w:rPr>
        <w:t> Por lado outro, como dito no início da nossa explanação, há posicionamento jurisprudencial no sentido oposto apresentado até o presente momento. Tribunais como o Tribunal de Justiça de Minas Gerais, o Tribunal de Justiça do Distrito Federal e Territórios e o Tribunal de Justiça do Rio de Janeiro defendem o direito de o ocupante de boa-fé de área pública ser indenizado por benfeitorias feitas, sob o substrato de que o poder público foi omisso durante todo o tempo de ocupação, o que gerou uma convicção ao ocupante de que estava agindo de boa-fé.</w:t>
      </w:r>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r w:rsidRPr="00C2704F">
        <w:rPr>
          <w:rFonts w:ascii="Trebuchet MS" w:eastAsia="Times New Roman" w:hAnsi="Trebuchet MS" w:cs="Times New Roman"/>
          <w:color w:val="3A382C"/>
          <w:sz w:val="18"/>
          <w:szCs w:val="18"/>
          <w:lang w:eastAsia="pt-BR"/>
        </w:rPr>
        <w:lastRenderedPageBreak/>
        <w:t>Assim se manifestou o TJMG no julgamento da seguinte apelação cível:</w:t>
      </w:r>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r w:rsidRPr="00C2704F">
        <w:rPr>
          <w:rFonts w:ascii="Trebuchet MS" w:eastAsia="Times New Roman" w:hAnsi="Trebuchet MS" w:cs="Times New Roman"/>
          <w:color w:val="3A382C"/>
          <w:sz w:val="18"/>
          <w:szCs w:val="18"/>
          <w:lang w:eastAsia="pt-BR"/>
        </w:rPr>
        <w:t xml:space="preserve">“DIREITO CIVIL - AÇÃO REIVINDICATÓRIA - BEM PÚBLICO - ALEGAÇÃO DE QUE O IMÓVEL FOI CEDIDO À EMPRESA APELANTE PELO ENTÃO PREFEITO COMO IMÓVEL PERTENCENTE À MUNICIPALIDADE - MÁ-FÉ - </w:t>
      </w:r>
      <w:r w:rsidRPr="00C2704F">
        <w:rPr>
          <w:rFonts w:ascii="Trebuchet MS" w:eastAsia="Times New Roman" w:hAnsi="Trebuchet MS" w:cs="Times New Roman"/>
          <w:b/>
          <w:bCs/>
          <w:color w:val="3A382C"/>
          <w:sz w:val="18"/>
          <w:szCs w:val="18"/>
          <w:lang w:eastAsia="pt-BR"/>
        </w:rPr>
        <w:t>POSSE EXERCIDA HÁ LONGOS ANOS, SEM OPOSIÇÃO - AFASTAMENTO - DIREITO À INDENIZAÇÃO E RETENÇÃO PELAS CONTRUÇÕES REALIZADAS NO ALUDIDO TERRENO - PROVIMENTO DO RECURSO</w:t>
      </w:r>
      <w:r w:rsidRPr="00C2704F">
        <w:rPr>
          <w:rFonts w:ascii="Trebuchet MS" w:eastAsia="Times New Roman" w:hAnsi="Trebuchet MS" w:cs="Times New Roman"/>
          <w:color w:val="3A382C"/>
          <w:sz w:val="18"/>
          <w:szCs w:val="18"/>
          <w:lang w:eastAsia="pt-BR"/>
        </w:rPr>
        <w:t xml:space="preserve">. </w:t>
      </w:r>
      <w:proofErr w:type="gramStart"/>
      <w:r w:rsidRPr="00C2704F">
        <w:rPr>
          <w:rFonts w:ascii="Trebuchet MS" w:eastAsia="Times New Roman" w:hAnsi="Trebuchet MS" w:cs="Times New Roman"/>
          <w:color w:val="3A382C"/>
          <w:sz w:val="18"/>
          <w:szCs w:val="18"/>
          <w:lang w:eastAsia="pt-BR"/>
        </w:rPr>
        <w:t xml:space="preserve">( </w:t>
      </w:r>
      <w:proofErr w:type="gramEnd"/>
      <w:r w:rsidRPr="00C2704F">
        <w:rPr>
          <w:rFonts w:ascii="Trebuchet MS" w:eastAsia="Times New Roman" w:hAnsi="Trebuchet MS" w:cs="Times New Roman"/>
          <w:color w:val="3A382C"/>
          <w:sz w:val="18"/>
          <w:szCs w:val="18"/>
          <w:lang w:eastAsia="pt-BR"/>
        </w:rPr>
        <w:t xml:space="preserve">TJMG. Proc. n. </w:t>
      </w:r>
      <w:r w:rsidRPr="00C2704F">
        <w:rPr>
          <w:rFonts w:ascii="Trebuchet MS" w:eastAsia="Times New Roman" w:hAnsi="Trebuchet MS" w:cs="Times New Roman"/>
          <w:b/>
          <w:bCs/>
          <w:color w:val="3A382C"/>
          <w:sz w:val="18"/>
          <w:szCs w:val="18"/>
          <w:lang w:eastAsia="pt-BR"/>
        </w:rPr>
        <w:t>1.0592.05.930468-9/001(1) Relator:</w:t>
      </w:r>
      <w:r w:rsidRPr="00C2704F">
        <w:rPr>
          <w:rFonts w:ascii="Trebuchet MS" w:eastAsia="Times New Roman" w:hAnsi="Trebuchet MS" w:cs="Times New Roman"/>
          <w:color w:val="3A382C"/>
          <w:sz w:val="18"/>
          <w:szCs w:val="18"/>
          <w:lang w:eastAsia="pt-BR"/>
        </w:rPr>
        <w:t xml:space="preserve"> JOSÉ DOMINGUES FERREIRA ESTEVES. </w:t>
      </w:r>
      <w:r w:rsidRPr="00C2704F">
        <w:rPr>
          <w:rFonts w:ascii="Trebuchet MS" w:eastAsia="Times New Roman" w:hAnsi="Trebuchet MS" w:cs="Times New Roman"/>
          <w:b/>
          <w:bCs/>
          <w:color w:val="3A382C"/>
          <w:sz w:val="18"/>
          <w:szCs w:val="18"/>
          <w:lang w:eastAsia="pt-BR"/>
        </w:rPr>
        <w:t xml:space="preserve">Data da Publicação: </w:t>
      </w:r>
      <w:r w:rsidRPr="00C2704F">
        <w:rPr>
          <w:rFonts w:ascii="Trebuchet MS" w:eastAsia="Times New Roman" w:hAnsi="Trebuchet MS" w:cs="Times New Roman"/>
          <w:color w:val="3A382C"/>
          <w:sz w:val="18"/>
          <w:szCs w:val="18"/>
          <w:lang w:eastAsia="pt-BR"/>
        </w:rPr>
        <w:t>03/02/2006) ( grifos nossos).</w:t>
      </w:r>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r w:rsidRPr="00C2704F">
        <w:rPr>
          <w:rFonts w:ascii="Trebuchet MS" w:eastAsia="Times New Roman" w:hAnsi="Trebuchet MS" w:cs="Times New Roman"/>
          <w:color w:val="3A382C"/>
          <w:sz w:val="18"/>
          <w:szCs w:val="18"/>
          <w:lang w:eastAsia="pt-BR"/>
        </w:rPr>
        <w:t>No mesmo sentido se pronuncia o TJDFT:</w:t>
      </w:r>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r w:rsidRPr="00C2704F">
        <w:rPr>
          <w:rFonts w:ascii="Trebuchet MS" w:eastAsia="Times New Roman" w:hAnsi="Trebuchet MS" w:cs="Times New Roman"/>
          <w:color w:val="3A382C"/>
          <w:sz w:val="18"/>
          <w:szCs w:val="18"/>
          <w:lang w:eastAsia="pt-BR"/>
        </w:rPr>
        <w:t xml:space="preserve">“AGRAVO DE INSTRUMENTO – PROCESSUAL CIVIL – AÇÃO DE REINTEGRAÇÃO DE POSSE – BEM PÚBLICO – MANDADO DE IMISSÃO – SUSPENÇÃO – POSSIBILIDADE – BENFEITORIAS – EXISTÊNCIA RECURSO – </w:t>
      </w:r>
      <w:proofErr w:type="gramStart"/>
      <w:r w:rsidRPr="00C2704F">
        <w:rPr>
          <w:rFonts w:ascii="Trebuchet MS" w:eastAsia="Times New Roman" w:hAnsi="Trebuchet MS" w:cs="Times New Roman"/>
          <w:color w:val="3A382C"/>
          <w:sz w:val="18"/>
          <w:szCs w:val="18"/>
          <w:lang w:eastAsia="pt-BR"/>
        </w:rPr>
        <w:t>APELAÇÃO .</w:t>
      </w:r>
      <w:proofErr w:type="gramEnd"/>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r w:rsidRPr="00C2704F">
        <w:rPr>
          <w:rFonts w:ascii="Trebuchet MS" w:eastAsia="Times New Roman" w:hAnsi="Trebuchet MS" w:cs="Times New Roman"/>
          <w:b/>
          <w:bCs/>
          <w:color w:val="3A382C"/>
          <w:sz w:val="18"/>
          <w:szCs w:val="18"/>
          <w:u w:val="single"/>
          <w:lang w:eastAsia="pt-BR"/>
        </w:rPr>
        <w:t>Havendo tolerância por parte da administração pública, durante vários anos no que tange a ocupação de terra pública, enseja a obrigação de indenização pelas benfeitorias realizada</w:t>
      </w:r>
      <w:r w:rsidRPr="00C2704F">
        <w:rPr>
          <w:rFonts w:ascii="Trebuchet MS" w:eastAsia="Times New Roman" w:hAnsi="Trebuchet MS" w:cs="Times New Roman"/>
          <w:color w:val="3A382C"/>
          <w:sz w:val="18"/>
          <w:szCs w:val="18"/>
          <w:lang w:eastAsia="pt-BR"/>
        </w:rPr>
        <w:t xml:space="preserve">. </w:t>
      </w:r>
      <w:proofErr w:type="gramStart"/>
      <w:r w:rsidRPr="00C2704F">
        <w:rPr>
          <w:rFonts w:ascii="Trebuchet MS" w:eastAsia="Times New Roman" w:hAnsi="Trebuchet MS" w:cs="Times New Roman"/>
          <w:color w:val="3A382C"/>
          <w:sz w:val="18"/>
          <w:szCs w:val="18"/>
          <w:lang w:eastAsia="pt-BR"/>
        </w:rPr>
        <w:t>Neste caso, deve o mandado de imissão de posse ser sobrestado até julgamento do recurso de Apelação.”</w:t>
      </w:r>
      <w:proofErr w:type="gramEnd"/>
      <w:r w:rsidRPr="00C2704F">
        <w:rPr>
          <w:rFonts w:ascii="Trebuchet MS" w:eastAsia="Times New Roman" w:hAnsi="Trebuchet MS" w:cs="Times New Roman"/>
          <w:color w:val="3A382C"/>
          <w:sz w:val="18"/>
          <w:szCs w:val="18"/>
          <w:lang w:eastAsia="pt-BR"/>
        </w:rPr>
        <w:t xml:space="preserve"> ( TJDFT. Proc. n. 2004 00 2 006870-8 </w:t>
      </w:r>
      <w:r w:rsidRPr="00C2704F">
        <w:rPr>
          <w:rFonts w:ascii="Trebuchet MS" w:eastAsia="Times New Roman" w:hAnsi="Trebuchet MS" w:cs="Times New Roman"/>
          <w:b/>
          <w:bCs/>
          <w:color w:val="3A382C"/>
          <w:sz w:val="18"/>
          <w:szCs w:val="18"/>
          <w:lang w:eastAsia="pt-BR"/>
        </w:rPr>
        <w:t>Relator:</w:t>
      </w:r>
      <w:r w:rsidRPr="00C2704F">
        <w:rPr>
          <w:rFonts w:ascii="Trebuchet MS" w:eastAsia="Times New Roman" w:hAnsi="Trebuchet MS" w:cs="Times New Roman"/>
          <w:color w:val="3A382C"/>
          <w:sz w:val="18"/>
          <w:szCs w:val="18"/>
          <w:lang w:eastAsia="pt-BR"/>
        </w:rPr>
        <w:t xml:space="preserve"> ASDRUBAL NASCIMENTO LIMA. 5a turma cível. </w:t>
      </w:r>
      <w:r w:rsidRPr="00C2704F">
        <w:rPr>
          <w:rFonts w:ascii="Trebuchet MS" w:eastAsia="Times New Roman" w:hAnsi="Trebuchet MS" w:cs="Times New Roman"/>
          <w:b/>
          <w:bCs/>
          <w:color w:val="3A382C"/>
          <w:sz w:val="18"/>
          <w:szCs w:val="18"/>
          <w:lang w:eastAsia="pt-BR"/>
        </w:rPr>
        <w:t xml:space="preserve">Data da Publicação: </w:t>
      </w:r>
      <w:r w:rsidRPr="00C2704F">
        <w:rPr>
          <w:rFonts w:ascii="Trebuchet MS" w:eastAsia="Times New Roman" w:hAnsi="Trebuchet MS" w:cs="Times New Roman"/>
          <w:color w:val="3A382C"/>
          <w:sz w:val="18"/>
          <w:szCs w:val="18"/>
          <w:lang w:eastAsia="pt-BR"/>
        </w:rPr>
        <w:t>18/10/2006) ( grifos nossos).</w:t>
      </w:r>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r w:rsidRPr="00C2704F">
        <w:rPr>
          <w:rFonts w:ascii="Trebuchet MS" w:eastAsia="Times New Roman" w:hAnsi="Trebuchet MS" w:cs="Times New Roman"/>
          <w:color w:val="3A382C"/>
          <w:sz w:val="18"/>
          <w:szCs w:val="18"/>
          <w:lang w:eastAsia="pt-BR"/>
        </w:rPr>
        <w:t>Somos impelidos a discordar em parte da manifestação dos tribunais ora citados, pois restou claramente demonstrado que se tratando de imóvel público, não há que se falar em possuidor, em posse. Porém, por sua vez, entendemos ser legítimo o direito de o ocupante irregular de boa-fé, do cidadão de boa-fé que investiu todas as suas economias na construção da sua moradia, da plantação, por ex., sem imaginar que aquele terreno se tratava de área pública, em receber indenização por tal valor despendido.</w:t>
      </w:r>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r w:rsidRPr="00C2704F">
        <w:rPr>
          <w:rFonts w:ascii="Trebuchet MS" w:eastAsia="Times New Roman" w:hAnsi="Trebuchet MS" w:cs="Times New Roman"/>
          <w:color w:val="3A382C"/>
          <w:sz w:val="18"/>
          <w:szCs w:val="18"/>
          <w:lang w:eastAsia="pt-BR"/>
        </w:rPr>
        <w:t xml:space="preserve">Grifa-se que entender como legítimo o direito de o cidadão, ocupante de boa-fé de imóvel púbico por longos anos sem qualquer interrupção estatal, em receber indenização pelo valor despendido, investido no imóvel, em nada se assemelha na defesa de aplicação do artigo 1219, do CC, que diz respeito </w:t>
      </w:r>
      <w:r w:rsidRPr="00C2704F">
        <w:rPr>
          <w:rFonts w:ascii="Trebuchet MS" w:eastAsia="Times New Roman" w:hAnsi="Trebuchet MS" w:cs="Times New Roman"/>
          <w:b/>
          <w:bCs/>
          <w:color w:val="3A382C"/>
          <w:sz w:val="18"/>
          <w:szCs w:val="18"/>
          <w:u w:val="single"/>
          <w:lang w:eastAsia="pt-BR"/>
        </w:rPr>
        <w:t>à posse</w:t>
      </w:r>
      <w:r w:rsidRPr="00C2704F">
        <w:rPr>
          <w:rFonts w:ascii="Trebuchet MS" w:eastAsia="Times New Roman" w:hAnsi="Trebuchet MS" w:cs="Times New Roman"/>
          <w:color w:val="3A382C"/>
          <w:sz w:val="18"/>
          <w:szCs w:val="18"/>
          <w:lang w:eastAsia="pt-BR"/>
        </w:rPr>
        <w:t>.</w:t>
      </w:r>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r w:rsidRPr="00C2704F">
        <w:rPr>
          <w:rFonts w:ascii="Trebuchet MS" w:eastAsia="Times New Roman" w:hAnsi="Trebuchet MS" w:cs="Times New Roman"/>
          <w:color w:val="3A382C"/>
          <w:sz w:val="18"/>
          <w:szCs w:val="18"/>
          <w:lang w:eastAsia="pt-BR"/>
        </w:rPr>
        <w:t xml:space="preserve">O desconhecimento do cidadão de boa-fé, ocupante de imóvel público, citado </w:t>
      </w:r>
      <w:proofErr w:type="gramStart"/>
      <w:r w:rsidRPr="00C2704F">
        <w:rPr>
          <w:rFonts w:ascii="Trebuchet MS" w:eastAsia="Times New Roman" w:hAnsi="Trebuchet MS" w:cs="Times New Roman"/>
          <w:color w:val="3A382C"/>
          <w:sz w:val="18"/>
          <w:szCs w:val="18"/>
          <w:lang w:eastAsia="pt-BR"/>
        </w:rPr>
        <w:t>supra deve</w:t>
      </w:r>
      <w:proofErr w:type="gramEnd"/>
      <w:r w:rsidRPr="00C2704F">
        <w:rPr>
          <w:rFonts w:ascii="Trebuchet MS" w:eastAsia="Times New Roman" w:hAnsi="Trebuchet MS" w:cs="Times New Roman"/>
          <w:color w:val="3A382C"/>
          <w:sz w:val="18"/>
          <w:szCs w:val="18"/>
          <w:lang w:eastAsia="pt-BR"/>
        </w:rPr>
        <w:t xml:space="preserve">-se à atuação omissa do poder público que, na maioria dos casos, se queda inerte por décadas e mais décadas. A convicção do então ocupante de que não está agindo de má-fé se acentua com o passar do tempo, sem a presença de ninguém para cobrar o terreno, para fiscalizar, enfim, para advertir o ocupante sobre a impossibilidade de se construir no imóvel, porque este era público. A falsa </w:t>
      </w:r>
      <w:proofErr w:type="spellStart"/>
      <w:r w:rsidRPr="00C2704F">
        <w:rPr>
          <w:rFonts w:ascii="Trebuchet MS" w:eastAsia="Times New Roman" w:hAnsi="Trebuchet MS" w:cs="Times New Roman"/>
          <w:color w:val="3A382C"/>
          <w:sz w:val="18"/>
          <w:szCs w:val="18"/>
          <w:lang w:eastAsia="pt-BR"/>
        </w:rPr>
        <w:t>idéia</w:t>
      </w:r>
      <w:proofErr w:type="spellEnd"/>
      <w:r w:rsidRPr="00C2704F">
        <w:rPr>
          <w:rFonts w:ascii="Trebuchet MS" w:eastAsia="Times New Roman" w:hAnsi="Trebuchet MS" w:cs="Times New Roman"/>
          <w:color w:val="3A382C"/>
          <w:sz w:val="18"/>
          <w:szCs w:val="18"/>
          <w:lang w:eastAsia="pt-BR"/>
        </w:rPr>
        <w:t xml:space="preserve"> de que está agindo de boa-fé deve-se, portanto, à falta de zelo do próprio poder público, pela sua omissão e sua “tácita concordância” diante à </w:t>
      </w:r>
      <w:proofErr w:type="gramStart"/>
      <w:r w:rsidRPr="00C2704F">
        <w:rPr>
          <w:rFonts w:ascii="Trebuchet MS" w:eastAsia="Times New Roman" w:hAnsi="Trebuchet MS" w:cs="Times New Roman"/>
          <w:color w:val="3A382C"/>
          <w:sz w:val="18"/>
          <w:szCs w:val="18"/>
          <w:lang w:eastAsia="pt-BR"/>
        </w:rPr>
        <w:t>ocupação</w:t>
      </w:r>
      <w:proofErr w:type="gramEnd"/>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r w:rsidRPr="00C2704F">
        <w:rPr>
          <w:rFonts w:ascii="Trebuchet MS" w:eastAsia="Times New Roman" w:hAnsi="Trebuchet MS" w:cs="Times New Roman"/>
          <w:color w:val="3A382C"/>
          <w:sz w:val="18"/>
          <w:szCs w:val="18"/>
          <w:lang w:eastAsia="pt-BR"/>
        </w:rPr>
        <w:t> Apesar do correto entendimento de que não há que se falar em posse em ocupação irregular de área pública, deve-se resguardar a falta de malícia na atitude de cidadãos, que, deparando-se com um ‘imóvel baldio em local ermo', passa a levantar, ali, uma casa para sua própria moradia, por exemplo.</w:t>
      </w:r>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proofErr w:type="gramStart"/>
      <w:r w:rsidRPr="00C2704F">
        <w:rPr>
          <w:rFonts w:ascii="Trebuchet MS" w:eastAsia="Times New Roman" w:hAnsi="Trebuchet MS" w:cs="Times New Roman"/>
          <w:b/>
          <w:bCs/>
          <w:color w:val="3A382C"/>
          <w:sz w:val="18"/>
          <w:szCs w:val="18"/>
          <w:lang w:eastAsia="pt-BR"/>
        </w:rPr>
        <w:t>4.</w:t>
      </w:r>
      <w:proofErr w:type="gramEnd"/>
      <w:r w:rsidRPr="00C2704F">
        <w:rPr>
          <w:rFonts w:ascii="Trebuchet MS" w:eastAsia="Times New Roman" w:hAnsi="Trebuchet MS" w:cs="Times New Roman"/>
          <w:b/>
          <w:bCs/>
          <w:color w:val="3A382C"/>
          <w:sz w:val="18"/>
          <w:szCs w:val="18"/>
          <w:lang w:eastAsia="pt-BR"/>
        </w:rPr>
        <w:t>CONCLUSÃO</w:t>
      </w:r>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r w:rsidRPr="00C2704F">
        <w:rPr>
          <w:rFonts w:ascii="Trebuchet MS" w:eastAsia="Times New Roman" w:hAnsi="Trebuchet MS" w:cs="Times New Roman"/>
          <w:color w:val="3A382C"/>
          <w:sz w:val="18"/>
          <w:szCs w:val="18"/>
          <w:lang w:eastAsia="pt-BR"/>
        </w:rPr>
        <w:t xml:space="preserve">Quando tratamos a respeito de ocupação em imóvel privado por possuidor de boa-fé, límpido é o seu direito de ser indenizado pelas benfeitorias, pelos melhoramentos, como cuida </w:t>
      </w:r>
      <w:proofErr w:type="gramStart"/>
      <w:r w:rsidRPr="00C2704F">
        <w:rPr>
          <w:rFonts w:ascii="Trebuchet MS" w:eastAsia="Times New Roman" w:hAnsi="Trebuchet MS" w:cs="Times New Roman"/>
          <w:color w:val="3A382C"/>
          <w:sz w:val="18"/>
          <w:szCs w:val="18"/>
          <w:lang w:eastAsia="pt-BR"/>
        </w:rPr>
        <w:t>o Código Civil em seus artigos 1219 e seguintes</w:t>
      </w:r>
      <w:proofErr w:type="gramEnd"/>
      <w:r w:rsidRPr="00C2704F">
        <w:rPr>
          <w:rFonts w:ascii="Trebuchet MS" w:eastAsia="Times New Roman" w:hAnsi="Trebuchet MS" w:cs="Times New Roman"/>
          <w:color w:val="3A382C"/>
          <w:sz w:val="18"/>
          <w:szCs w:val="18"/>
          <w:lang w:eastAsia="pt-BR"/>
        </w:rPr>
        <w:t>.</w:t>
      </w:r>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proofErr w:type="gramStart"/>
      <w:r w:rsidRPr="00C2704F">
        <w:rPr>
          <w:rFonts w:ascii="Trebuchet MS" w:eastAsia="Times New Roman" w:hAnsi="Trebuchet MS" w:cs="Times New Roman"/>
          <w:color w:val="3A382C"/>
          <w:sz w:val="18"/>
          <w:szCs w:val="18"/>
          <w:lang w:eastAsia="pt-BR"/>
        </w:rPr>
        <w:t>É</w:t>
      </w:r>
      <w:proofErr w:type="gramEnd"/>
      <w:r w:rsidRPr="00C2704F">
        <w:rPr>
          <w:rFonts w:ascii="Trebuchet MS" w:eastAsia="Times New Roman" w:hAnsi="Trebuchet MS" w:cs="Times New Roman"/>
          <w:color w:val="3A382C"/>
          <w:sz w:val="18"/>
          <w:szCs w:val="18"/>
          <w:lang w:eastAsia="pt-BR"/>
        </w:rPr>
        <w:t xml:space="preserve"> digna de contornos outros a situação em que ocorre a ocupação irregular de particular em área pública, sem que tenha havido autorização, permissão ou concessão por parte do poder público. Ao ocupante de área pública não é permitido fazer-lhe a nomeação de possuidor, sendo mero detentor.</w:t>
      </w:r>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r w:rsidRPr="00C2704F">
        <w:rPr>
          <w:rFonts w:ascii="Trebuchet MS" w:eastAsia="Times New Roman" w:hAnsi="Trebuchet MS" w:cs="Times New Roman"/>
          <w:color w:val="3A382C"/>
          <w:sz w:val="18"/>
          <w:szCs w:val="18"/>
          <w:lang w:eastAsia="pt-BR"/>
        </w:rPr>
        <w:t xml:space="preserve">A jurisprudência do STJ é unânime em entender não ser possível a aplicação do direito privado à ocupação irregular de área pública. Alguns Tribunais, no entanto, entendem não só ser possível caracterizar tal ocupação de posse de boa-fé, como legítimo o direito do “possuidor de boa-fé” de área pública ser indenizado por benfeitorias ali feitas. </w:t>
      </w:r>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r w:rsidRPr="00C2704F">
        <w:rPr>
          <w:rFonts w:ascii="Trebuchet MS" w:eastAsia="Times New Roman" w:hAnsi="Trebuchet MS" w:cs="Times New Roman"/>
          <w:color w:val="3A382C"/>
          <w:sz w:val="18"/>
          <w:szCs w:val="18"/>
          <w:lang w:eastAsia="pt-BR"/>
        </w:rPr>
        <w:t xml:space="preserve">Coberto de razão está o STJ ao alegar que não há que se falar em posse de imóvel público, porém é digno de relevância o posicionamento dos tribunais </w:t>
      </w:r>
      <w:r w:rsidRPr="00C2704F">
        <w:rPr>
          <w:rFonts w:ascii="Trebuchet MS" w:eastAsia="Times New Roman" w:hAnsi="Trebuchet MS" w:cs="Times New Roman"/>
          <w:i/>
          <w:iCs/>
          <w:color w:val="3A382C"/>
          <w:sz w:val="18"/>
          <w:szCs w:val="18"/>
          <w:lang w:eastAsia="pt-BR"/>
        </w:rPr>
        <w:t>a quo</w:t>
      </w:r>
      <w:r w:rsidRPr="00C2704F">
        <w:rPr>
          <w:rFonts w:ascii="Trebuchet MS" w:eastAsia="Times New Roman" w:hAnsi="Trebuchet MS" w:cs="Times New Roman"/>
          <w:color w:val="3A382C"/>
          <w:sz w:val="18"/>
          <w:szCs w:val="18"/>
          <w:lang w:eastAsia="pt-BR"/>
        </w:rPr>
        <w:t xml:space="preserve"> a respeito da necessidade de haver uma indenização quanto </w:t>
      </w:r>
      <w:proofErr w:type="gramStart"/>
      <w:r w:rsidRPr="00C2704F">
        <w:rPr>
          <w:rFonts w:ascii="Trebuchet MS" w:eastAsia="Times New Roman" w:hAnsi="Trebuchet MS" w:cs="Times New Roman"/>
          <w:color w:val="3A382C"/>
          <w:sz w:val="18"/>
          <w:szCs w:val="18"/>
          <w:lang w:eastAsia="pt-BR"/>
        </w:rPr>
        <w:t>a</w:t>
      </w:r>
      <w:proofErr w:type="gramEnd"/>
      <w:r w:rsidRPr="00C2704F">
        <w:rPr>
          <w:rFonts w:ascii="Trebuchet MS" w:eastAsia="Times New Roman" w:hAnsi="Trebuchet MS" w:cs="Times New Roman"/>
          <w:color w:val="3A382C"/>
          <w:sz w:val="18"/>
          <w:szCs w:val="18"/>
          <w:lang w:eastAsia="pt-BR"/>
        </w:rPr>
        <w:t xml:space="preserve"> ocupação aparentemente lícita daqueles que de boa-fé acreditam ocupar “terra sem dono".</w:t>
      </w:r>
    </w:p>
    <w:p w:rsidR="00C2704F" w:rsidRPr="00C2704F" w:rsidRDefault="00C2704F" w:rsidP="00C2704F">
      <w:pPr>
        <w:shd w:val="clear" w:color="auto" w:fill="FFFFFF"/>
        <w:spacing w:before="100" w:beforeAutospacing="1" w:after="100" w:afterAutospacing="1" w:line="240" w:lineRule="auto"/>
        <w:rPr>
          <w:rFonts w:ascii="Trebuchet MS" w:eastAsia="Times New Roman" w:hAnsi="Trebuchet MS" w:cs="Times New Roman"/>
          <w:color w:val="3A382C"/>
          <w:sz w:val="18"/>
          <w:szCs w:val="18"/>
          <w:lang w:eastAsia="pt-BR"/>
        </w:rPr>
      </w:pPr>
      <w:r w:rsidRPr="00C2704F">
        <w:rPr>
          <w:rFonts w:ascii="Trebuchet MS" w:eastAsia="Times New Roman" w:hAnsi="Trebuchet MS" w:cs="Times New Roman"/>
          <w:color w:val="3A382C"/>
          <w:sz w:val="18"/>
          <w:szCs w:val="18"/>
          <w:lang w:eastAsia="pt-BR"/>
        </w:rPr>
        <w:lastRenderedPageBreak/>
        <w:t> </w:t>
      </w:r>
    </w:p>
    <w:p w:rsidR="00C2704F" w:rsidRPr="00C2704F" w:rsidRDefault="00C2704F" w:rsidP="00C2704F">
      <w:pPr>
        <w:shd w:val="clear" w:color="auto" w:fill="FFFFFF"/>
        <w:spacing w:after="0" w:line="240" w:lineRule="auto"/>
        <w:rPr>
          <w:rFonts w:ascii="Trebuchet MS" w:eastAsia="Times New Roman" w:hAnsi="Trebuchet MS" w:cs="Times New Roman"/>
          <w:sz w:val="18"/>
          <w:szCs w:val="18"/>
          <w:lang w:eastAsia="pt-BR"/>
        </w:rPr>
      </w:pPr>
      <w:r w:rsidRPr="00C2704F">
        <w:rPr>
          <w:rFonts w:ascii="Trebuchet MS" w:eastAsia="Times New Roman" w:hAnsi="Trebuchet MS" w:cs="Times New Roman"/>
          <w:b/>
          <w:bCs/>
          <w:sz w:val="18"/>
          <w:szCs w:val="18"/>
          <w:lang w:eastAsia="pt-BR"/>
        </w:rPr>
        <w:t>Referências:</w:t>
      </w:r>
    </w:p>
    <w:p w:rsidR="00C2704F" w:rsidRPr="00C2704F" w:rsidRDefault="00C2704F" w:rsidP="00C2704F">
      <w:pPr>
        <w:shd w:val="clear" w:color="auto" w:fill="FFFFFF"/>
        <w:spacing w:after="0" w:line="240" w:lineRule="auto"/>
        <w:rPr>
          <w:rFonts w:ascii="Trebuchet MS" w:eastAsia="Times New Roman" w:hAnsi="Trebuchet MS" w:cs="Times New Roman"/>
          <w:sz w:val="18"/>
          <w:szCs w:val="18"/>
          <w:lang w:eastAsia="pt-BR"/>
        </w:rPr>
      </w:pPr>
      <w:r w:rsidRPr="00C2704F">
        <w:rPr>
          <w:rFonts w:ascii="Trebuchet MS" w:eastAsia="Times New Roman" w:hAnsi="Trebuchet MS" w:cs="Times New Roman"/>
          <w:sz w:val="18"/>
          <w:szCs w:val="18"/>
          <w:lang w:eastAsia="pt-BR"/>
        </w:rPr>
        <w:t xml:space="preserve">BRASIL, Superior Tribunal de Justiça. </w:t>
      </w:r>
      <w:proofErr w:type="spellStart"/>
      <w:proofErr w:type="gramStart"/>
      <w:r w:rsidRPr="00C2704F">
        <w:rPr>
          <w:rFonts w:ascii="Trebuchet MS" w:eastAsia="Times New Roman" w:hAnsi="Trebuchet MS" w:cs="Times New Roman"/>
          <w:b/>
          <w:bCs/>
          <w:sz w:val="18"/>
          <w:szCs w:val="18"/>
          <w:lang w:eastAsia="pt-BR"/>
        </w:rPr>
        <w:t>REsp</w:t>
      </w:r>
      <w:proofErr w:type="spellEnd"/>
      <w:proofErr w:type="gramEnd"/>
      <w:r w:rsidRPr="00C2704F">
        <w:rPr>
          <w:rFonts w:ascii="Trebuchet MS" w:eastAsia="Times New Roman" w:hAnsi="Trebuchet MS" w:cs="Times New Roman"/>
          <w:b/>
          <w:bCs/>
          <w:sz w:val="18"/>
          <w:szCs w:val="18"/>
          <w:lang w:eastAsia="pt-BR"/>
        </w:rPr>
        <w:t xml:space="preserve"> 863939 / RJ</w:t>
      </w:r>
      <w:r w:rsidRPr="00C2704F">
        <w:rPr>
          <w:rFonts w:ascii="Trebuchet MS" w:eastAsia="Times New Roman" w:hAnsi="Trebuchet MS" w:cs="Times New Roman"/>
          <w:b/>
          <w:bCs/>
          <w:sz w:val="18"/>
          <w:szCs w:val="18"/>
          <w:lang w:eastAsia="pt-BR"/>
        </w:rPr>
        <w:br/>
        <w:t>RECURSO ESPECIAL 2006/0117429-8</w:t>
      </w:r>
      <w:r w:rsidRPr="00C2704F">
        <w:rPr>
          <w:rFonts w:ascii="Trebuchet MS" w:eastAsia="Times New Roman" w:hAnsi="Trebuchet MS" w:cs="Times New Roman"/>
          <w:sz w:val="18"/>
          <w:szCs w:val="18"/>
          <w:lang w:eastAsia="pt-BR"/>
        </w:rPr>
        <w:t>. Brasília, 24 de Novembro de 2008</w:t>
      </w:r>
      <w:r w:rsidRPr="00C2704F">
        <w:rPr>
          <w:rFonts w:ascii="Trebuchet MS" w:eastAsia="Times New Roman" w:hAnsi="Trebuchet MS" w:cs="Times New Roman"/>
          <w:b/>
          <w:bCs/>
          <w:sz w:val="18"/>
          <w:szCs w:val="18"/>
          <w:lang w:eastAsia="pt-BR"/>
        </w:rPr>
        <w:t xml:space="preserve">. </w:t>
      </w:r>
      <w:r w:rsidRPr="00C2704F">
        <w:rPr>
          <w:rFonts w:ascii="Trebuchet MS" w:eastAsia="Times New Roman" w:hAnsi="Trebuchet MS" w:cs="Times New Roman"/>
          <w:sz w:val="18"/>
          <w:szCs w:val="18"/>
          <w:lang w:eastAsia="pt-BR"/>
        </w:rPr>
        <w:t>Disponível em</w:t>
      </w:r>
      <w:r w:rsidRPr="00C2704F">
        <w:rPr>
          <w:rFonts w:ascii="Trebuchet MS" w:eastAsia="Times New Roman" w:hAnsi="Trebuchet MS" w:cs="Times New Roman"/>
          <w:b/>
          <w:bCs/>
          <w:sz w:val="18"/>
          <w:szCs w:val="18"/>
          <w:lang w:eastAsia="pt-BR"/>
        </w:rPr>
        <w:t xml:space="preserve"> </w:t>
      </w:r>
      <w:r w:rsidRPr="00C2704F">
        <w:rPr>
          <w:rFonts w:ascii="Trebuchet MS" w:eastAsia="Times New Roman" w:hAnsi="Trebuchet MS" w:cs="Times New Roman"/>
          <w:sz w:val="18"/>
          <w:szCs w:val="18"/>
          <w:lang w:eastAsia="pt-BR"/>
        </w:rPr>
        <w:t xml:space="preserve">&lt; </w:t>
      </w:r>
      <w:hyperlink r:id="rId9" w:history="1">
        <w:r w:rsidRPr="00C2704F">
          <w:rPr>
            <w:rFonts w:ascii="Trebuchet MS" w:eastAsia="Times New Roman" w:hAnsi="Trebuchet MS" w:cs="Times New Roman"/>
            <w:color w:val="8A0000"/>
            <w:sz w:val="18"/>
            <w:szCs w:val="18"/>
            <w:lang w:eastAsia="pt-BR"/>
          </w:rPr>
          <w:t>http://www.stj.gov.br/SCON/jurisprudencia/toc.jsp?tipo_visualizacao=RESUMO&amp;livre=REsp+863939+&amp;b=ACOR</w:t>
        </w:r>
      </w:hyperlink>
      <w:r w:rsidRPr="00C2704F">
        <w:rPr>
          <w:rFonts w:ascii="Trebuchet MS" w:eastAsia="Times New Roman" w:hAnsi="Trebuchet MS" w:cs="Times New Roman"/>
          <w:sz w:val="18"/>
          <w:szCs w:val="18"/>
          <w:lang w:eastAsia="pt-BR"/>
        </w:rPr>
        <w:t>&gt;</w:t>
      </w:r>
      <w:proofErr w:type="gramStart"/>
      <w:r w:rsidRPr="00C2704F">
        <w:rPr>
          <w:rFonts w:ascii="Trebuchet MS" w:eastAsia="Times New Roman" w:hAnsi="Trebuchet MS" w:cs="Times New Roman"/>
          <w:sz w:val="18"/>
          <w:szCs w:val="18"/>
          <w:lang w:eastAsia="pt-BR"/>
        </w:rPr>
        <w:t xml:space="preserve"> .</w:t>
      </w:r>
      <w:proofErr w:type="gramEnd"/>
      <w:r w:rsidRPr="00C2704F">
        <w:rPr>
          <w:rFonts w:ascii="Trebuchet MS" w:eastAsia="Times New Roman" w:hAnsi="Trebuchet MS" w:cs="Times New Roman"/>
          <w:sz w:val="18"/>
          <w:szCs w:val="18"/>
          <w:lang w:eastAsia="pt-BR"/>
        </w:rPr>
        <w:t xml:space="preserve"> Acesso em 28 de julho de 2009.</w:t>
      </w:r>
    </w:p>
    <w:p w:rsidR="00C2704F" w:rsidRPr="00C2704F" w:rsidRDefault="00C2704F" w:rsidP="00C2704F">
      <w:pPr>
        <w:shd w:val="clear" w:color="auto" w:fill="FFFFFF"/>
        <w:spacing w:after="0" w:line="240" w:lineRule="auto"/>
        <w:rPr>
          <w:rFonts w:ascii="Trebuchet MS" w:eastAsia="Times New Roman" w:hAnsi="Trebuchet MS" w:cs="Times New Roman"/>
          <w:sz w:val="18"/>
          <w:szCs w:val="18"/>
          <w:lang w:eastAsia="pt-BR"/>
        </w:rPr>
      </w:pPr>
      <w:r w:rsidRPr="00C2704F">
        <w:rPr>
          <w:rFonts w:ascii="Trebuchet MS" w:eastAsia="Times New Roman" w:hAnsi="Trebuchet MS" w:cs="Times New Roman"/>
          <w:sz w:val="18"/>
          <w:szCs w:val="18"/>
          <w:lang w:eastAsia="pt-BR"/>
        </w:rPr>
        <w:t>BRASIL, Superior Tribunal de Justiça. Notícias STJ.</w:t>
      </w:r>
      <w:r w:rsidRPr="00C2704F">
        <w:rPr>
          <w:rFonts w:ascii="Trebuchet MS" w:eastAsia="Times New Roman" w:hAnsi="Trebuchet MS" w:cs="Times New Roman"/>
          <w:b/>
          <w:bCs/>
          <w:sz w:val="18"/>
          <w:szCs w:val="18"/>
          <w:lang w:eastAsia="pt-BR"/>
        </w:rPr>
        <w:t xml:space="preserve"> Mesmo de boa-fé, ocupação de área pública não gera direito à indenização por benfeitorias. </w:t>
      </w:r>
      <w:r w:rsidRPr="00C2704F">
        <w:rPr>
          <w:rFonts w:ascii="Trebuchet MS" w:eastAsia="Times New Roman" w:hAnsi="Trebuchet MS" w:cs="Times New Roman"/>
          <w:sz w:val="18"/>
          <w:szCs w:val="18"/>
          <w:lang w:eastAsia="pt-BR"/>
        </w:rPr>
        <w:t>Brasília, 17 de Julho de 2009</w:t>
      </w:r>
      <w:r w:rsidRPr="00C2704F">
        <w:rPr>
          <w:rFonts w:ascii="Trebuchet MS" w:eastAsia="Times New Roman" w:hAnsi="Trebuchet MS" w:cs="Times New Roman"/>
          <w:b/>
          <w:bCs/>
          <w:sz w:val="18"/>
          <w:szCs w:val="18"/>
          <w:lang w:eastAsia="pt-BR"/>
        </w:rPr>
        <w:t xml:space="preserve">. </w:t>
      </w:r>
      <w:r w:rsidRPr="00C2704F">
        <w:rPr>
          <w:rFonts w:ascii="Trebuchet MS" w:eastAsia="Times New Roman" w:hAnsi="Trebuchet MS" w:cs="Times New Roman"/>
          <w:sz w:val="18"/>
          <w:szCs w:val="18"/>
          <w:lang w:eastAsia="pt-BR"/>
        </w:rPr>
        <w:t>Disponível em</w:t>
      </w:r>
      <w:r w:rsidRPr="00C2704F">
        <w:rPr>
          <w:rFonts w:ascii="Trebuchet MS" w:eastAsia="Times New Roman" w:hAnsi="Trebuchet MS" w:cs="Times New Roman"/>
          <w:b/>
          <w:bCs/>
          <w:sz w:val="18"/>
          <w:szCs w:val="18"/>
          <w:lang w:eastAsia="pt-BR"/>
        </w:rPr>
        <w:t xml:space="preserve"> </w:t>
      </w:r>
      <w:r w:rsidRPr="00C2704F">
        <w:rPr>
          <w:rFonts w:ascii="Trebuchet MS" w:eastAsia="Times New Roman" w:hAnsi="Trebuchet MS" w:cs="Times New Roman"/>
          <w:sz w:val="18"/>
          <w:szCs w:val="18"/>
          <w:lang w:eastAsia="pt-BR"/>
        </w:rPr>
        <w:t xml:space="preserve">&lt; </w:t>
      </w:r>
      <w:hyperlink r:id="rId10" w:history="1">
        <w:r w:rsidRPr="00C2704F">
          <w:rPr>
            <w:rFonts w:ascii="Trebuchet MS" w:eastAsia="Times New Roman" w:hAnsi="Trebuchet MS" w:cs="Times New Roman"/>
            <w:color w:val="8A0000"/>
            <w:sz w:val="18"/>
            <w:szCs w:val="18"/>
            <w:lang w:eastAsia="pt-BR"/>
          </w:rPr>
          <w:t>http://www.stj.gov.br/portal_stj/publicacao/engine.wsp?tmp.area=398&amp;tmp.texto=92861&amp;tmp.area_anterior=44&amp;tmp.argumento_pesquisa</w:t>
        </w:r>
      </w:hyperlink>
      <w:r w:rsidRPr="00C2704F">
        <w:rPr>
          <w:rFonts w:ascii="Trebuchet MS" w:eastAsia="Times New Roman" w:hAnsi="Trebuchet MS" w:cs="Times New Roman"/>
          <w:sz w:val="18"/>
          <w:szCs w:val="18"/>
          <w:lang w:eastAsia="pt-BR"/>
        </w:rPr>
        <w:t>=&gt;. Acesso em 16 de julho de 2009.</w:t>
      </w:r>
    </w:p>
    <w:p w:rsidR="00C2704F" w:rsidRPr="00C2704F" w:rsidRDefault="00C2704F" w:rsidP="00C2704F">
      <w:pPr>
        <w:shd w:val="clear" w:color="auto" w:fill="FFFFFF"/>
        <w:spacing w:after="0" w:line="240" w:lineRule="auto"/>
        <w:rPr>
          <w:rFonts w:ascii="Trebuchet MS" w:eastAsia="Times New Roman" w:hAnsi="Trebuchet MS" w:cs="Times New Roman"/>
          <w:sz w:val="18"/>
          <w:szCs w:val="18"/>
          <w:lang w:eastAsia="pt-BR"/>
        </w:rPr>
      </w:pPr>
      <w:r w:rsidRPr="00C2704F">
        <w:rPr>
          <w:rFonts w:ascii="Trebuchet MS" w:eastAsia="Times New Roman" w:hAnsi="Trebuchet MS" w:cs="Times New Roman"/>
          <w:sz w:val="18"/>
          <w:szCs w:val="18"/>
          <w:lang w:eastAsia="pt-BR"/>
        </w:rPr>
        <w:t xml:space="preserve">DINIZ, Maria </w:t>
      </w:r>
      <w:proofErr w:type="spellStart"/>
      <w:proofErr w:type="gramStart"/>
      <w:r w:rsidRPr="00C2704F">
        <w:rPr>
          <w:rFonts w:ascii="Trebuchet MS" w:eastAsia="Times New Roman" w:hAnsi="Trebuchet MS" w:cs="Times New Roman"/>
          <w:sz w:val="18"/>
          <w:szCs w:val="18"/>
          <w:lang w:eastAsia="pt-BR"/>
        </w:rPr>
        <w:t>Helena;</w:t>
      </w:r>
      <w:proofErr w:type="gramEnd"/>
      <w:r w:rsidRPr="00C2704F">
        <w:rPr>
          <w:rFonts w:ascii="Trebuchet MS" w:eastAsia="Times New Roman" w:hAnsi="Trebuchet MS" w:cs="Times New Roman"/>
          <w:sz w:val="18"/>
          <w:szCs w:val="18"/>
          <w:lang w:eastAsia="pt-BR"/>
        </w:rPr>
        <w:t>FIÚZA</w:t>
      </w:r>
      <w:proofErr w:type="spellEnd"/>
      <w:r w:rsidRPr="00C2704F">
        <w:rPr>
          <w:rFonts w:ascii="Trebuchet MS" w:eastAsia="Times New Roman" w:hAnsi="Trebuchet MS" w:cs="Times New Roman"/>
          <w:sz w:val="18"/>
          <w:szCs w:val="18"/>
          <w:lang w:eastAsia="pt-BR"/>
        </w:rPr>
        <w:t xml:space="preserve">, </w:t>
      </w:r>
      <w:proofErr w:type="spellStart"/>
      <w:r w:rsidRPr="00C2704F">
        <w:rPr>
          <w:rFonts w:ascii="Trebuchet MS" w:eastAsia="Times New Roman" w:hAnsi="Trebuchet MS" w:cs="Times New Roman"/>
          <w:sz w:val="18"/>
          <w:szCs w:val="18"/>
          <w:lang w:eastAsia="pt-BR"/>
        </w:rPr>
        <w:t>Ricardo;FIGUEIRA</w:t>
      </w:r>
      <w:proofErr w:type="spellEnd"/>
      <w:r w:rsidRPr="00C2704F">
        <w:rPr>
          <w:rFonts w:ascii="Trebuchet MS" w:eastAsia="Times New Roman" w:hAnsi="Trebuchet MS" w:cs="Times New Roman"/>
          <w:sz w:val="18"/>
          <w:szCs w:val="18"/>
          <w:lang w:eastAsia="pt-BR"/>
        </w:rPr>
        <w:t xml:space="preserve"> JR., José Dias; MALUF, Carlos </w:t>
      </w:r>
      <w:proofErr w:type="spellStart"/>
      <w:r w:rsidRPr="00C2704F">
        <w:rPr>
          <w:rFonts w:ascii="Trebuchet MS" w:eastAsia="Times New Roman" w:hAnsi="Trebuchet MS" w:cs="Times New Roman"/>
          <w:sz w:val="18"/>
          <w:szCs w:val="18"/>
          <w:lang w:eastAsia="pt-BR"/>
        </w:rPr>
        <w:t>Dabus</w:t>
      </w:r>
      <w:proofErr w:type="spellEnd"/>
      <w:r w:rsidRPr="00C2704F">
        <w:rPr>
          <w:rFonts w:ascii="Trebuchet MS" w:eastAsia="Times New Roman" w:hAnsi="Trebuchet MS" w:cs="Times New Roman"/>
          <w:sz w:val="18"/>
          <w:szCs w:val="18"/>
          <w:lang w:eastAsia="pt-BR"/>
        </w:rPr>
        <w:t xml:space="preserve">; ALVES, Jones </w:t>
      </w:r>
      <w:proofErr w:type="spellStart"/>
      <w:r w:rsidRPr="00C2704F">
        <w:rPr>
          <w:rFonts w:ascii="Trebuchet MS" w:eastAsia="Times New Roman" w:hAnsi="Trebuchet MS" w:cs="Times New Roman"/>
          <w:sz w:val="18"/>
          <w:szCs w:val="18"/>
          <w:lang w:eastAsia="pt-BR"/>
        </w:rPr>
        <w:t>Figueiredo;ASSUNÇÃO</w:t>
      </w:r>
      <w:proofErr w:type="spellEnd"/>
      <w:r w:rsidRPr="00C2704F">
        <w:rPr>
          <w:rFonts w:ascii="Trebuchet MS" w:eastAsia="Times New Roman" w:hAnsi="Trebuchet MS" w:cs="Times New Roman"/>
          <w:sz w:val="18"/>
          <w:szCs w:val="18"/>
          <w:lang w:eastAsia="pt-BR"/>
        </w:rPr>
        <w:t xml:space="preserve">, Alexandre </w:t>
      </w:r>
      <w:proofErr w:type="spellStart"/>
      <w:r w:rsidRPr="00C2704F">
        <w:rPr>
          <w:rFonts w:ascii="Trebuchet MS" w:eastAsia="Times New Roman" w:hAnsi="Trebuchet MS" w:cs="Times New Roman"/>
          <w:sz w:val="18"/>
          <w:szCs w:val="18"/>
          <w:lang w:eastAsia="pt-BR"/>
        </w:rPr>
        <w:t>Guedes;VELOSO</w:t>
      </w:r>
      <w:proofErr w:type="spellEnd"/>
      <w:r w:rsidRPr="00C2704F">
        <w:rPr>
          <w:rFonts w:ascii="Trebuchet MS" w:eastAsia="Times New Roman" w:hAnsi="Trebuchet MS" w:cs="Times New Roman"/>
          <w:sz w:val="18"/>
          <w:szCs w:val="18"/>
          <w:lang w:eastAsia="pt-BR"/>
        </w:rPr>
        <w:t xml:space="preserve">, </w:t>
      </w:r>
      <w:proofErr w:type="spellStart"/>
      <w:r w:rsidRPr="00C2704F">
        <w:rPr>
          <w:rFonts w:ascii="Trebuchet MS" w:eastAsia="Times New Roman" w:hAnsi="Trebuchet MS" w:cs="Times New Roman"/>
          <w:sz w:val="18"/>
          <w:szCs w:val="18"/>
          <w:lang w:eastAsia="pt-BR"/>
        </w:rPr>
        <w:t>Zeno;SILVA</w:t>
      </w:r>
      <w:proofErr w:type="spellEnd"/>
      <w:r w:rsidRPr="00C2704F">
        <w:rPr>
          <w:rFonts w:ascii="Trebuchet MS" w:eastAsia="Times New Roman" w:hAnsi="Trebuchet MS" w:cs="Times New Roman"/>
          <w:sz w:val="18"/>
          <w:szCs w:val="18"/>
          <w:lang w:eastAsia="pt-BR"/>
        </w:rPr>
        <w:t xml:space="preserve">; Regina Beatriz </w:t>
      </w:r>
      <w:proofErr w:type="spellStart"/>
      <w:r w:rsidRPr="00C2704F">
        <w:rPr>
          <w:rFonts w:ascii="Trebuchet MS" w:eastAsia="Times New Roman" w:hAnsi="Trebuchet MS" w:cs="Times New Roman"/>
          <w:sz w:val="18"/>
          <w:szCs w:val="18"/>
          <w:lang w:eastAsia="pt-BR"/>
        </w:rPr>
        <w:t>Tavares;REGIS</w:t>
      </w:r>
      <w:proofErr w:type="spellEnd"/>
      <w:r w:rsidRPr="00C2704F">
        <w:rPr>
          <w:rFonts w:ascii="Trebuchet MS" w:eastAsia="Times New Roman" w:hAnsi="Trebuchet MS" w:cs="Times New Roman"/>
          <w:sz w:val="18"/>
          <w:szCs w:val="18"/>
          <w:lang w:eastAsia="pt-BR"/>
        </w:rPr>
        <w:t xml:space="preserve">, Mario </w:t>
      </w:r>
      <w:proofErr w:type="spellStart"/>
      <w:r w:rsidRPr="00C2704F">
        <w:rPr>
          <w:rFonts w:ascii="Trebuchet MS" w:eastAsia="Times New Roman" w:hAnsi="Trebuchet MS" w:cs="Times New Roman"/>
          <w:sz w:val="18"/>
          <w:szCs w:val="18"/>
          <w:lang w:eastAsia="pt-BR"/>
        </w:rPr>
        <w:t>Luis</w:t>
      </w:r>
      <w:proofErr w:type="spellEnd"/>
      <w:r w:rsidRPr="00C2704F">
        <w:rPr>
          <w:rFonts w:ascii="Trebuchet MS" w:eastAsia="Times New Roman" w:hAnsi="Trebuchet MS" w:cs="Times New Roman"/>
          <w:sz w:val="18"/>
          <w:szCs w:val="18"/>
          <w:lang w:eastAsia="pt-BR"/>
        </w:rPr>
        <w:t xml:space="preserve"> </w:t>
      </w:r>
      <w:proofErr w:type="spellStart"/>
      <w:r w:rsidRPr="00C2704F">
        <w:rPr>
          <w:rFonts w:ascii="Trebuchet MS" w:eastAsia="Times New Roman" w:hAnsi="Trebuchet MS" w:cs="Times New Roman"/>
          <w:sz w:val="18"/>
          <w:szCs w:val="18"/>
          <w:lang w:eastAsia="pt-BR"/>
        </w:rPr>
        <w:t>Delgado;</w:t>
      </w:r>
      <w:r w:rsidRPr="00C2704F">
        <w:rPr>
          <w:rFonts w:ascii="Trebuchet MS" w:eastAsia="Times New Roman" w:hAnsi="Trebuchet MS" w:cs="Times New Roman"/>
          <w:b/>
          <w:bCs/>
          <w:sz w:val="18"/>
          <w:szCs w:val="18"/>
          <w:lang w:eastAsia="pt-BR"/>
        </w:rPr>
        <w:t>Novo</w:t>
      </w:r>
      <w:proofErr w:type="spellEnd"/>
      <w:r w:rsidRPr="00C2704F">
        <w:rPr>
          <w:rFonts w:ascii="Trebuchet MS" w:eastAsia="Times New Roman" w:hAnsi="Trebuchet MS" w:cs="Times New Roman"/>
          <w:b/>
          <w:bCs/>
          <w:sz w:val="18"/>
          <w:szCs w:val="18"/>
          <w:lang w:eastAsia="pt-BR"/>
        </w:rPr>
        <w:t xml:space="preserve"> Código Civil Comentado,</w:t>
      </w:r>
      <w:r w:rsidRPr="00C2704F">
        <w:rPr>
          <w:rFonts w:ascii="Trebuchet MS" w:eastAsia="Times New Roman" w:hAnsi="Trebuchet MS" w:cs="Times New Roman"/>
          <w:i/>
          <w:iCs/>
          <w:sz w:val="18"/>
          <w:szCs w:val="18"/>
          <w:lang w:eastAsia="pt-BR"/>
        </w:rPr>
        <w:t xml:space="preserve"> </w:t>
      </w:r>
      <w:r w:rsidRPr="00C2704F">
        <w:rPr>
          <w:rFonts w:ascii="Trebuchet MS" w:eastAsia="Times New Roman" w:hAnsi="Trebuchet MS" w:cs="Times New Roman"/>
          <w:b/>
          <w:bCs/>
          <w:sz w:val="18"/>
          <w:szCs w:val="18"/>
          <w:lang w:eastAsia="pt-BR"/>
        </w:rPr>
        <w:t>Editora Saraiva – ed. 2002.</w:t>
      </w:r>
    </w:p>
    <w:p w:rsidR="00C2704F" w:rsidRPr="00C2704F" w:rsidRDefault="00C2704F" w:rsidP="00C2704F">
      <w:pPr>
        <w:shd w:val="clear" w:color="auto" w:fill="FFFFFF"/>
        <w:spacing w:after="0" w:line="240" w:lineRule="auto"/>
        <w:rPr>
          <w:rFonts w:ascii="Trebuchet MS" w:eastAsia="Times New Roman" w:hAnsi="Trebuchet MS" w:cs="Times New Roman"/>
          <w:sz w:val="18"/>
          <w:szCs w:val="18"/>
          <w:lang w:eastAsia="pt-BR"/>
        </w:rPr>
      </w:pPr>
      <w:r w:rsidRPr="00C2704F">
        <w:rPr>
          <w:rFonts w:ascii="Trebuchet MS" w:eastAsia="Times New Roman" w:hAnsi="Trebuchet MS" w:cs="Times New Roman"/>
          <w:sz w:val="18"/>
          <w:szCs w:val="18"/>
          <w:lang w:eastAsia="pt-BR"/>
        </w:rPr>
        <w:t>DI PIETRO, Maria Sylvia Zanella.</w:t>
      </w:r>
      <w:r w:rsidRPr="00C2704F">
        <w:rPr>
          <w:rFonts w:ascii="Trebuchet MS" w:eastAsia="Times New Roman" w:hAnsi="Trebuchet MS" w:cs="Times New Roman"/>
          <w:b/>
          <w:bCs/>
          <w:sz w:val="18"/>
          <w:szCs w:val="18"/>
          <w:lang w:eastAsia="pt-BR"/>
        </w:rPr>
        <w:t xml:space="preserve"> Direito Administrativo. </w:t>
      </w:r>
      <w:r w:rsidRPr="00C2704F">
        <w:rPr>
          <w:rFonts w:ascii="Trebuchet MS" w:eastAsia="Times New Roman" w:hAnsi="Trebuchet MS" w:cs="Times New Roman"/>
          <w:sz w:val="18"/>
          <w:szCs w:val="18"/>
          <w:lang w:eastAsia="pt-BR"/>
        </w:rPr>
        <w:t>20 ed., Editora Atlas S.A., São Paulo, 2007.</w:t>
      </w:r>
    </w:p>
    <w:p w:rsidR="00C2704F" w:rsidRPr="00C2704F" w:rsidRDefault="00C2704F" w:rsidP="00C2704F">
      <w:pPr>
        <w:shd w:val="clear" w:color="auto" w:fill="FFFFFF"/>
        <w:spacing w:after="0" w:line="240" w:lineRule="auto"/>
        <w:rPr>
          <w:rFonts w:ascii="Trebuchet MS" w:eastAsia="Times New Roman" w:hAnsi="Trebuchet MS" w:cs="Times New Roman"/>
          <w:sz w:val="18"/>
          <w:szCs w:val="18"/>
          <w:lang w:eastAsia="pt-BR"/>
        </w:rPr>
      </w:pPr>
      <w:r w:rsidRPr="00C2704F">
        <w:rPr>
          <w:rFonts w:ascii="Trebuchet MS" w:eastAsia="Times New Roman" w:hAnsi="Trebuchet MS" w:cs="Times New Roman"/>
          <w:sz w:val="18"/>
          <w:szCs w:val="18"/>
          <w:lang w:eastAsia="pt-BR"/>
        </w:rPr>
        <w:t>DISTRITO FEDERAL E TERRITÓRIOS, Tribunal de Justiça. J</w:t>
      </w:r>
      <w:r w:rsidRPr="00C2704F">
        <w:rPr>
          <w:rFonts w:ascii="Trebuchet MS" w:eastAsia="Times New Roman" w:hAnsi="Trebuchet MS" w:cs="Times New Roman"/>
          <w:b/>
          <w:bCs/>
          <w:sz w:val="18"/>
          <w:szCs w:val="18"/>
          <w:lang w:eastAsia="pt-BR"/>
        </w:rPr>
        <w:t>urisprudência Interna Comparada.</w:t>
      </w:r>
      <w:r w:rsidRPr="00C2704F">
        <w:rPr>
          <w:rFonts w:ascii="Trebuchet MS" w:eastAsia="Times New Roman" w:hAnsi="Trebuchet MS" w:cs="Times New Roman"/>
          <w:sz w:val="18"/>
          <w:szCs w:val="18"/>
          <w:lang w:eastAsia="pt-BR"/>
        </w:rPr>
        <w:t xml:space="preserve"> </w:t>
      </w:r>
      <w:hyperlink r:id="rId11" w:tgtFrame="_blank" w:tooltip="Link para Acórdão nº 261891" w:history="1">
        <w:r w:rsidRPr="00C2704F">
          <w:rPr>
            <w:rFonts w:ascii="Trebuchet MS" w:eastAsia="Times New Roman" w:hAnsi="Trebuchet MS" w:cs="Times New Roman"/>
            <w:b/>
            <w:bCs/>
            <w:color w:val="8A0000"/>
            <w:sz w:val="18"/>
            <w:szCs w:val="18"/>
            <w:lang w:eastAsia="pt-BR"/>
          </w:rPr>
          <w:t xml:space="preserve">Acórdão nº 261891. </w:t>
        </w:r>
      </w:hyperlink>
      <w:r w:rsidRPr="00C2704F">
        <w:rPr>
          <w:rFonts w:ascii="Trebuchet MS" w:eastAsia="Times New Roman" w:hAnsi="Trebuchet MS" w:cs="Times New Roman"/>
          <w:sz w:val="18"/>
          <w:szCs w:val="18"/>
          <w:lang w:eastAsia="pt-BR"/>
        </w:rPr>
        <w:t xml:space="preserve"> Brasília (DF), 18 de </w:t>
      </w:r>
      <w:proofErr w:type="spellStart"/>
      <w:r w:rsidRPr="00C2704F">
        <w:rPr>
          <w:rFonts w:ascii="Trebuchet MS" w:eastAsia="Times New Roman" w:hAnsi="Trebuchet MS" w:cs="Times New Roman"/>
          <w:sz w:val="18"/>
          <w:szCs w:val="18"/>
          <w:lang w:eastAsia="pt-BR"/>
        </w:rPr>
        <w:t>Outubrode</w:t>
      </w:r>
      <w:proofErr w:type="spellEnd"/>
      <w:r w:rsidRPr="00C2704F">
        <w:rPr>
          <w:rFonts w:ascii="Trebuchet MS" w:eastAsia="Times New Roman" w:hAnsi="Trebuchet MS" w:cs="Times New Roman"/>
          <w:sz w:val="18"/>
          <w:szCs w:val="18"/>
          <w:lang w:eastAsia="pt-BR"/>
        </w:rPr>
        <w:t xml:space="preserve"> 2006. Disponível em</w:t>
      </w:r>
      <w:r w:rsidRPr="00C2704F">
        <w:rPr>
          <w:rFonts w:ascii="Trebuchet MS" w:eastAsia="Times New Roman" w:hAnsi="Trebuchet MS" w:cs="Times New Roman"/>
          <w:b/>
          <w:bCs/>
          <w:sz w:val="18"/>
          <w:szCs w:val="18"/>
          <w:lang w:eastAsia="pt-BR"/>
        </w:rPr>
        <w:t xml:space="preserve"> </w:t>
      </w:r>
      <w:hyperlink r:id="rId12" w:history="1">
        <w:r w:rsidRPr="00C2704F">
          <w:rPr>
            <w:rFonts w:ascii="Trebuchet MS" w:eastAsia="Times New Roman" w:hAnsi="Trebuchet MS" w:cs="Times New Roman"/>
            <w:b/>
            <w:bCs/>
            <w:color w:val="8A0000"/>
            <w:sz w:val="18"/>
            <w:szCs w:val="18"/>
            <w:lang w:eastAsia="pt-BR"/>
          </w:rPr>
          <w:t>http://www.tjdft.jus.br/juris/juris_intcomp/juris_adm_civil1.asp</w:t>
        </w:r>
      </w:hyperlink>
      <w:proofErr w:type="gramStart"/>
      <w:r w:rsidRPr="00C2704F">
        <w:rPr>
          <w:rFonts w:ascii="Trebuchet MS" w:eastAsia="Times New Roman" w:hAnsi="Trebuchet MS" w:cs="Times New Roman"/>
          <w:b/>
          <w:bCs/>
          <w:sz w:val="18"/>
          <w:szCs w:val="18"/>
          <w:lang w:eastAsia="pt-BR"/>
        </w:rPr>
        <w:t xml:space="preserve"> .</w:t>
      </w:r>
      <w:proofErr w:type="gramEnd"/>
      <w:r w:rsidRPr="00C2704F">
        <w:rPr>
          <w:rFonts w:ascii="Trebuchet MS" w:eastAsia="Times New Roman" w:hAnsi="Trebuchet MS" w:cs="Times New Roman"/>
          <w:b/>
          <w:bCs/>
          <w:sz w:val="18"/>
          <w:szCs w:val="18"/>
          <w:lang w:eastAsia="pt-BR"/>
        </w:rPr>
        <w:t xml:space="preserve"> </w:t>
      </w:r>
      <w:r w:rsidRPr="00C2704F">
        <w:rPr>
          <w:rFonts w:ascii="Trebuchet MS" w:eastAsia="Times New Roman" w:hAnsi="Trebuchet MS" w:cs="Times New Roman"/>
          <w:sz w:val="18"/>
          <w:szCs w:val="18"/>
          <w:lang w:eastAsia="pt-BR"/>
        </w:rPr>
        <w:t xml:space="preserve">Acesso em 20 de julho de 2009. </w:t>
      </w:r>
    </w:p>
    <w:p w:rsidR="00C2704F" w:rsidRPr="00C2704F" w:rsidRDefault="00C2704F" w:rsidP="00C2704F">
      <w:pPr>
        <w:shd w:val="clear" w:color="auto" w:fill="FFFFFF"/>
        <w:spacing w:after="0" w:line="240" w:lineRule="auto"/>
        <w:rPr>
          <w:rFonts w:ascii="Trebuchet MS" w:eastAsia="Times New Roman" w:hAnsi="Trebuchet MS" w:cs="Times New Roman"/>
          <w:sz w:val="18"/>
          <w:szCs w:val="18"/>
          <w:lang w:eastAsia="pt-BR"/>
        </w:rPr>
      </w:pPr>
      <w:r w:rsidRPr="00C2704F">
        <w:rPr>
          <w:rFonts w:ascii="Trebuchet MS" w:eastAsia="Times New Roman" w:hAnsi="Trebuchet MS" w:cs="Times New Roman"/>
          <w:sz w:val="18"/>
          <w:szCs w:val="18"/>
          <w:lang w:eastAsia="pt-BR"/>
        </w:rPr>
        <w:t>FIÚZA, Cesar</w:t>
      </w:r>
      <w:r w:rsidRPr="00C2704F">
        <w:rPr>
          <w:rFonts w:ascii="Trebuchet MS" w:eastAsia="Times New Roman" w:hAnsi="Trebuchet MS" w:cs="Times New Roman"/>
          <w:b/>
          <w:bCs/>
          <w:sz w:val="18"/>
          <w:szCs w:val="18"/>
          <w:lang w:eastAsia="pt-BR"/>
        </w:rPr>
        <w:t xml:space="preserve">. Direito Civil. Curso Completo. </w:t>
      </w:r>
      <w:r w:rsidRPr="00C2704F">
        <w:rPr>
          <w:rFonts w:ascii="Trebuchet MS" w:eastAsia="Times New Roman" w:hAnsi="Trebuchet MS" w:cs="Times New Roman"/>
          <w:sz w:val="18"/>
          <w:szCs w:val="18"/>
          <w:lang w:eastAsia="pt-BR"/>
        </w:rPr>
        <w:t>12 ed., Editora Del Rey, Belo Horizonte. 2008.</w:t>
      </w:r>
    </w:p>
    <w:p w:rsidR="00C2704F" w:rsidRPr="00C2704F" w:rsidRDefault="00C2704F" w:rsidP="00C2704F">
      <w:pPr>
        <w:shd w:val="clear" w:color="auto" w:fill="FFFFFF"/>
        <w:spacing w:after="0" w:line="240" w:lineRule="auto"/>
        <w:rPr>
          <w:rFonts w:ascii="Trebuchet MS" w:eastAsia="Times New Roman" w:hAnsi="Trebuchet MS" w:cs="Times New Roman"/>
          <w:sz w:val="18"/>
          <w:szCs w:val="18"/>
          <w:lang w:eastAsia="pt-BR"/>
        </w:rPr>
      </w:pPr>
      <w:r w:rsidRPr="00C2704F">
        <w:rPr>
          <w:rFonts w:ascii="Trebuchet MS" w:eastAsia="Times New Roman" w:hAnsi="Trebuchet MS" w:cs="Times New Roman"/>
          <w:sz w:val="18"/>
          <w:szCs w:val="18"/>
          <w:lang w:eastAsia="pt-BR"/>
        </w:rPr>
        <w:t xml:space="preserve">FREITAS, Juarez. </w:t>
      </w:r>
      <w:r w:rsidRPr="00C2704F">
        <w:rPr>
          <w:rFonts w:ascii="Trebuchet MS" w:eastAsia="Times New Roman" w:hAnsi="Trebuchet MS" w:cs="Times New Roman"/>
          <w:b/>
          <w:bCs/>
          <w:sz w:val="18"/>
          <w:szCs w:val="18"/>
          <w:lang w:eastAsia="pt-BR"/>
        </w:rPr>
        <w:t xml:space="preserve">Estudos de Direito Administrativo </w:t>
      </w:r>
      <w:proofErr w:type="gramStart"/>
      <w:r w:rsidRPr="00C2704F">
        <w:rPr>
          <w:rFonts w:ascii="Trebuchet MS" w:eastAsia="Times New Roman" w:hAnsi="Trebuchet MS" w:cs="Times New Roman"/>
          <w:sz w:val="18"/>
          <w:szCs w:val="18"/>
          <w:lang w:eastAsia="pt-BR"/>
        </w:rPr>
        <w:t>2</w:t>
      </w:r>
      <w:proofErr w:type="gramEnd"/>
      <w:r w:rsidRPr="00C2704F">
        <w:rPr>
          <w:rFonts w:ascii="Trebuchet MS" w:eastAsia="Times New Roman" w:hAnsi="Trebuchet MS" w:cs="Times New Roman"/>
          <w:sz w:val="18"/>
          <w:szCs w:val="18"/>
          <w:lang w:eastAsia="pt-BR"/>
        </w:rPr>
        <w:t xml:space="preserve"> ed., Rev. e atual., São Paulo,</w:t>
      </w:r>
    </w:p>
    <w:p w:rsidR="00C2704F" w:rsidRPr="00C2704F" w:rsidRDefault="00C2704F" w:rsidP="00C2704F">
      <w:pPr>
        <w:shd w:val="clear" w:color="auto" w:fill="FFFFFF"/>
        <w:spacing w:after="0" w:line="240" w:lineRule="auto"/>
        <w:rPr>
          <w:rFonts w:ascii="Trebuchet MS" w:eastAsia="Times New Roman" w:hAnsi="Trebuchet MS" w:cs="Times New Roman"/>
          <w:sz w:val="18"/>
          <w:szCs w:val="18"/>
          <w:lang w:eastAsia="pt-BR"/>
        </w:rPr>
      </w:pPr>
      <w:r w:rsidRPr="00C2704F">
        <w:rPr>
          <w:rFonts w:ascii="Trebuchet MS" w:eastAsia="Times New Roman" w:hAnsi="Trebuchet MS" w:cs="Times New Roman"/>
          <w:sz w:val="18"/>
          <w:szCs w:val="18"/>
          <w:lang w:eastAsia="pt-BR"/>
        </w:rPr>
        <w:t>Malheiros, 1997, p. 66.</w:t>
      </w:r>
    </w:p>
    <w:p w:rsidR="00C2704F" w:rsidRPr="00C2704F" w:rsidRDefault="00C2704F" w:rsidP="00C2704F">
      <w:pPr>
        <w:shd w:val="clear" w:color="auto" w:fill="FFFFFF"/>
        <w:spacing w:after="0" w:line="240" w:lineRule="auto"/>
        <w:rPr>
          <w:rFonts w:ascii="Trebuchet MS" w:eastAsia="Times New Roman" w:hAnsi="Trebuchet MS" w:cs="Times New Roman"/>
          <w:sz w:val="18"/>
          <w:szCs w:val="18"/>
          <w:lang w:eastAsia="pt-BR"/>
        </w:rPr>
      </w:pPr>
      <w:proofErr w:type="spellStart"/>
      <w:proofErr w:type="gramStart"/>
      <w:r w:rsidRPr="00C2704F">
        <w:rPr>
          <w:rFonts w:ascii="Trebuchet MS" w:eastAsia="Times New Roman" w:hAnsi="Trebuchet MS" w:cs="Times New Roman"/>
          <w:sz w:val="18"/>
          <w:szCs w:val="18"/>
          <w:lang w:eastAsia="pt-BR"/>
        </w:rPr>
        <w:t>MENEZES,</w:t>
      </w:r>
      <w:proofErr w:type="gramEnd"/>
      <w:r w:rsidRPr="00C2704F">
        <w:rPr>
          <w:rFonts w:ascii="Trebuchet MS" w:eastAsia="Times New Roman" w:hAnsi="Trebuchet MS" w:cs="Times New Roman"/>
          <w:sz w:val="18"/>
          <w:szCs w:val="18"/>
          <w:lang w:eastAsia="pt-BR"/>
        </w:rPr>
        <w:t>Rafael</w:t>
      </w:r>
      <w:proofErr w:type="spellEnd"/>
      <w:r w:rsidRPr="00C2704F">
        <w:rPr>
          <w:rFonts w:ascii="Trebuchet MS" w:eastAsia="Times New Roman" w:hAnsi="Trebuchet MS" w:cs="Times New Roman"/>
          <w:sz w:val="18"/>
          <w:szCs w:val="18"/>
          <w:lang w:eastAsia="pt-BR"/>
        </w:rPr>
        <w:t xml:space="preserve"> de. </w:t>
      </w:r>
      <w:r w:rsidRPr="00C2704F">
        <w:rPr>
          <w:rFonts w:ascii="Trebuchet MS" w:eastAsia="Times New Roman" w:hAnsi="Trebuchet MS" w:cs="Times New Roman"/>
          <w:b/>
          <w:bCs/>
          <w:sz w:val="18"/>
          <w:szCs w:val="18"/>
          <w:lang w:eastAsia="pt-BR"/>
        </w:rPr>
        <w:t xml:space="preserve">Direitos Reais. EFEITOS DA POSSE. </w:t>
      </w:r>
      <w:r w:rsidRPr="00C2704F">
        <w:rPr>
          <w:rFonts w:ascii="Trebuchet MS" w:eastAsia="Times New Roman" w:hAnsi="Trebuchet MS" w:cs="Times New Roman"/>
          <w:sz w:val="18"/>
          <w:szCs w:val="18"/>
          <w:lang w:eastAsia="pt-BR"/>
        </w:rPr>
        <w:t>31 de Agosto de 2004.</w:t>
      </w:r>
      <w:r w:rsidRPr="00C2704F">
        <w:rPr>
          <w:rFonts w:ascii="Trebuchet MS" w:eastAsia="Times New Roman" w:hAnsi="Trebuchet MS" w:cs="Times New Roman"/>
          <w:b/>
          <w:bCs/>
          <w:sz w:val="18"/>
          <w:szCs w:val="18"/>
          <w:lang w:eastAsia="pt-BR"/>
        </w:rPr>
        <w:t xml:space="preserve"> </w:t>
      </w:r>
      <w:r w:rsidRPr="00C2704F">
        <w:rPr>
          <w:rFonts w:ascii="Trebuchet MS" w:eastAsia="Times New Roman" w:hAnsi="Trebuchet MS" w:cs="Times New Roman"/>
          <w:sz w:val="18"/>
          <w:szCs w:val="18"/>
          <w:lang w:eastAsia="pt-BR"/>
        </w:rPr>
        <w:t xml:space="preserve">Disponível em: </w:t>
      </w:r>
      <w:proofErr w:type="gramStart"/>
      <w:r w:rsidRPr="00C2704F">
        <w:rPr>
          <w:rFonts w:ascii="Trebuchet MS" w:eastAsia="Times New Roman" w:hAnsi="Trebuchet MS" w:cs="Times New Roman"/>
          <w:sz w:val="18"/>
          <w:szCs w:val="18"/>
          <w:lang w:eastAsia="pt-BR"/>
        </w:rPr>
        <w:t>http://www.rafaeldemenezes.adv.br/direitosreais/aula6.htm .</w:t>
      </w:r>
      <w:proofErr w:type="gramEnd"/>
      <w:r w:rsidRPr="00C2704F">
        <w:rPr>
          <w:rFonts w:ascii="Trebuchet MS" w:eastAsia="Times New Roman" w:hAnsi="Trebuchet MS" w:cs="Times New Roman"/>
          <w:sz w:val="18"/>
          <w:szCs w:val="18"/>
          <w:lang w:eastAsia="pt-BR"/>
        </w:rPr>
        <w:t xml:space="preserve"> Acesso em 25 de julho de 2009.</w:t>
      </w:r>
    </w:p>
    <w:p w:rsidR="00C2704F" w:rsidRPr="00C2704F" w:rsidRDefault="00C2704F" w:rsidP="00C2704F">
      <w:pPr>
        <w:shd w:val="clear" w:color="auto" w:fill="FFFFFF"/>
        <w:spacing w:after="0" w:line="240" w:lineRule="auto"/>
        <w:rPr>
          <w:rFonts w:ascii="Trebuchet MS" w:eastAsia="Times New Roman" w:hAnsi="Trebuchet MS" w:cs="Times New Roman"/>
          <w:sz w:val="18"/>
          <w:szCs w:val="18"/>
          <w:lang w:eastAsia="pt-BR"/>
        </w:rPr>
      </w:pPr>
      <w:r w:rsidRPr="00C2704F">
        <w:rPr>
          <w:rFonts w:ascii="Trebuchet MS" w:eastAsia="Times New Roman" w:hAnsi="Trebuchet MS" w:cs="Times New Roman"/>
          <w:sz w:val="18"/>
          <w:szCs w:val="18"/>
          <w:lang w:eastAsia="pt-BR"/>
        </w:rPr>
        <w:t xml:space="preserve">MINAS GERAIS, Tribunal de Justiça. </w:t>
      </w:r>
      <w:r w:rsidRPr="00C2704F">
        <w:rPr>
          <w:rFonts w:ascii="Trebuchet MS" w:eastAsia="Times New Roman" w:hAnsi="Trebuchet MS" w:cs="Times New Roman"/>
          <w:b/>
          <w:bCs/>
          <w:sz w:val="18"/>
          <w:szCs w:val="18"/>
          <w:lang w:eastAsia="pt-BR"/>
        </w:rPr>
        <w:t>APELAÇÃO CÍVEL Nº 1.0592.05.930468-9/001</w:t>
      </w:r>
      <w:r w:rsidRPr="00C2704F">
        <w:rPr>
          <w:rFonts w:ascii="Trebuchet MS" w:eastAsia="Times New Roman" w:hAnsi="Trebuchet MS" w:cs="Times New Roman"/>
          <w:sz w:val="18"/>
          <w:szCs w:val="18"/>
          <w:lang w:eastAsia="pt-BR"/>
        </w:rPr>
        <w:t>. Belo Horizonte, 03 de Fevereiro de 2006</w:t>
      </w:r>
      <w:r w:rsidRPr="00C2704F">
        <w:rPr>
          <w:rFonts w:ascii="Trebuchet MS" w:eastAsia="Times New Roman" w:hAnsi="Trebuchet MS" w:cs="Times New Roman"/>
          <w:b/>
          <w:bCs/>
          <w:sz w:val="18"/>
          <w:szCs w:val="18"/>
          <w:lang w:eastAsia="pt-BR"/>
        </w:rPr>
        <w:t xml:space="preserve">. </w:t>
      </w:r>
      <w:r w:rsidRPr="00C2704F">
        <w:rPr>
          <w:rFonts w:ascii="Trebuchet MS" w:eastAsia="Times New Roman" w:hAnsi="Trebuchet MS" w:cs="Times New Roman"/>
          <w:sz w:val="18"/>
          <w:szCs w:val="18"/>
          <w:lang w:eastAsia="pt-BR"/>
        </w:rPr>
        <w:t>Disponível em</w:t>
      </w:r>
      <w:r w:rsidRPr="00C2704F">
        <w:rPr>
          <w:rFonts w:ascii="Trebuchet MS" w:eastAsia="Times New Roman" w:hAnsi="Trebuchet MS" w:cs="Times New Roman"/>
          <w:b/>
          <w:bCs/>
          <w:sz w:val="18"/>
          <w:szCs w:val="18"/>
          <w:lang w:eastAsia="pt-BR"/>
        </w:rPr>
        <w:t xml:space="preserve"> </w:t>
      </w:r>
      <w:r w:rsidRPr="00C2704F">
        <w:rPr>
          <w:rFonts w:ascii="Trebuchet MS" w:eastAsia="Times New Roman" w:hAnsi="Trebuchet MS" w:cs="Times New Roman"/>
          <w:sz w:val="18"/>
          <w:szCs w:val="18"/>
          <w:lang w:eastAsia="pt-BR"/>
        </w:rPr>
        <w:t xml:space="preserve">&lt; </w:t>
      </w:r>
      <w:hyperlink r:id="rId13" w:history="1">
        <w:r w:rsidRPr="00C2704F">
          <w:rPr>
            <w:rFonts w:ascii="Trebuchet MS" w:eastAsia="Times New Roman" w:hAnsi="Trebuchet MS" w:cs="Times New Roman"/>
            <w:color w:val="8A0000"/>
            <w:sz w:val="18"/>
            <w:szCs w:val="18"/>
            <w:lang w:eastAsia="pt-BR"/>
          </w:rPr>
          <w:t>http://www.tjmg.jus.br/juridico/jt_/juris_resultado.jsp?tipoTribunal=1&amp;comrCodigo=0592&amp;ano=05&amp;txt_processo=930468&amp;dv=9&amp;complemento=001&amp;acordaoEmenta=acordao&amp;palavrasConsulta=&amp;tipoFiltro=and&amp;orderByData=0&amp;relator=&amp;dataInicial=&amp;dataFinal=28%2F07%2F2009&amp;resultPagina=10&amp;dataAcordaoInicial=&amp;dataAcordaoFinal=&amp;pesquisar=Pesquisar</w:t>
        </w:r>
      </w:hyperlink>
      <w:r w:rsidRPr="00C2704F">
        <w:rPr>
          <w:rFonts w:ascii="Trebuchet MS" w:eastAsia="Times New Roman" w:hAnsi="Trebuchet MS" w:cs="Times New Roman"/>
          <w:sz w:val="18"/>
          <w:szCs w:val="18"/>
          <w:lang w:eastAsia="pt-BR"/>
        </w:rPr>
        <w:t>&gt;. Acesso em 26 de julho de 2009.</w:t>
      </w:r>
    </w:p>
    <w:p w:rsidR="00C2704F" w:rsidRPr="00C2704F" w:rsidRDefault="00C2704F" w:rsidP="00C2704F">
      <w:pPr>
        <w:shd w:val="clear" w:color="auto" w:fill="FFFFFF"/>
        <w:spacing w:after="0" w:line="240" w:lineRule="auto"/>
        <w:rPr>
          <w:rFonts w:ascii="Trebuchet MS" w:eastAsia="Times New Roman" w:hAnsi="Trebuchet MS" w:cs="Times New Roman"/>
          <w:sz w:val="18"/>
          <w:szCs w:val="18"/>
          <w:lang w:eastAsia="pt-BR"/>
        </w:rPr>
      </w:pPr>
      <w:r w:rsidRPr="00C2704F">
        <w:rPr>
          <w:rFonts w:ascii="Trebuchet MS" w:eastAsia="Times New Roman" w:hAnsi="Trebuchet MS" w:cs="Times New Roman"/>
          <w:sz w:val="18"/>
          <w:szCs w:val="18"/>
          <w:lang w:eastAsia="pt-BR"/>
        </w:rPr>
        <w:t> </w:t>
      </w:r>
    </w:p>
    <w:p w:rsidR="00F87C1E" w:rsidRDefault="00F87C1E" w:rsidP="00C2704F">
      <w:pPr>
        <w:ind w:left="-851"/>
      </w:pPr>
    </w:p>
    <w:sectPr w:rsidR="00F87C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04F"/>
    <w:rsid w:val="00AB44D0"/>
    <w:rsid w:val="00C2704F"/>
    <w:rsid w:val="00F87C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883526">
      <w:bodyDiv w:val="1"/>
      <w:marLeft w:val="0"/>
      <w:marRight w:val="0"/>
      <w:marTop w:val="0"/>
      <w:marBottom w:val="0"/>
      <w:divBdr>
        <w:top w:val="none" w:sz="0" w:space="0" w:color="auto"/>
        <w:left w:val="none" w:sz="0" w:space="0" w:color="auto"/>
        <w:bottom w:val="none" w:sz="0" w:space="0" w:color="auto"/>
        <w:right w:val="none" w:sz="0" w:space="0" w:color="auto"/>
      </w:divBdr>
      <w:divsChild>
        <w:div w:id="1711222390">
          <w:marLeft w:val="0"/>
          <w:marRight w:val="0"/>
          <w:marTop w:val="150"/>
          <w:marBottom w:val="0"/>
          <w:divBdr>
            <w:top w:val="none" w:sz="0" w:space="0" w:color="auto"/>
            <w:left w:val="none" w:sz="0" w:space="0" w:color="auto"/>
            <w:bottom w:val="none" w:sz="0" w:space="0" w:color="auto"/>
            <w:right w:val="none" w:sz="0" w:space="0" w:color="auto"/>
          </w:divBdr>
          <w:divsChild>
            <w:div w:id="1246455314">
              <w:marLeft w:val="0"/>
              <w:marRight w:val="0"/>
              <w:marTop w:val="0"/>
              <w:marBottom w:val="0"/>
              <w:divBdr>
                <w:top w:val="none" w:sz="0" w:space="0" w:color="auto"/>
                <w:left w:val="none" w:sz="0" w:space="0" w:color="auto"/>
                <w:bottom w:val="none" w:sz="0" w:space="0" w:color="auto"/>
                <w:right w:val="none" w:sz="0" w:space="0" w:color="auto"/>
              </w:divBdr>
              <w:divsChild>
                <w:div w:id="851453723">
                  <w:marLeft w:val="0"/>
                  <w:marRight w:val="0"/>
                  <w:marTop w:val="0"/>
                  <w:marBottom w:val="0"/>
                  <w:divBdr>
                    <w:top w:val="none" w:sz="0" w:space="0" w:color="auto"/>
                    <w:left w:val="none" w:sz="0" w:space="0" w:color="auto"/>
                    <w:bottom w:val="none" w:sz="0" w:space="0" w:color="auto"/>
                    <w:right w:val="none" w:sz="0" w:space="0" w:color="auto"/>
                  </w:divBdr>
                  <w:divsChild>
                    <w:div w:id="806049726">
                      <w:marLeft w:val="0"/>
                      <w:marRight w:val="0"/>
                      <w:marTop w:val="0"/>
                      <w:marBottom w:val="0"/>
                      <w:divBdr>
                        <w:top w:val="none" w:sz="0" w:space="0" w:color="auto"/>
                        <w:left w:val="none" w:sz="0" w:space="0" w:color="auto"/>
                        <w:bottom w:val="none" w:sz="0" w:space="0" w:color="auto"/>
                        <w:right w:val="none" w:sz="0" w:space="0" w:color="auto"/>
                      </w:divBdr>
                      <w:divsChild>
                        <w:div w:id="60300785">
                          <w:marLeft w:val="0"/>
                          <w:marRight w:val="0"/>
                          <w:marTop w:val="0"/>
                          <w:marBottom w:val="0"/>
                          <w:divBdr>
                            <w:top w:val="none" w:sz="0" w:space="0" w:color="auto"/>
                            <w:left w:val="none" w:sz="0" w:space="0" w:color="auto"/>
                            <w:bottom w:val="none" w:sz="0" w:space="0" w:color="auto"/>
                            <w:right w:val="none" w:sz="0" w:space="0" w:color="auto"/>
                          </w:divBdr>
                          <w:divsChild>
                            <w:div w:id="1128086092">
                              <w:marLeft w:val="0"/>
                              <w:marRight w:val="300"/>
                              <w:marTop w:val="0"/>
                              <w:marBottom w:val="0"/>
                              <w:divBdr>
                                <w:top w:val="none" w:sz="0" w:space="0" w:color="auto"/>
                                <w:left w:val="none" w:sz="0" w:space="0" w:color="auto"/>
                                <w:bottom w:val="none" w:sz="0" w:space="0" w:color="auto"/>
                                <w:right w:val="none" w:sz="0" w:space="0" w:color="auto"/>
                              </w:divBdr>
                              <w:divsChild>
                                <w:div w:id="1224607178">
                                  <w:marLeft w:val="0"/>
                                  <w:marRight w:val="0"/>
                                  <w:marTop w:val="0"/>
                                  <w:marBottom w:val="0"/>
                                  <w:divBdr>
                                    <w:top w:val="none" w:sz="0" w:space="0" w:color="auto"/>
                                    <w:left w:val="none" w:sz="0" w:space="0" w:color="auto"/>
                                    <w:bottom w:val="dotted" w:sz="6" w:space="0" w:color="AAA68D"/>
                                    <w:right w:val="none" w:sz="0" w:space="0" w:color="auto"/>
                                  </w:divBdr>
                                </w:div>
                                <w:div w:id="1998533978">
                                  <w:marLeft w:val="0"/>
                                  <w:marRight w:val="0"/>
                                  <w:marTop w:val="0"/>
                                  <w:marBottom w:val="0"/>
                                  <w:divBdr>
                                    <w:top w:val="none" w:sz="0" w:space="0" w:color="auto"/>
                                    <w:left w:val="none" w:sz="0" w:space="0" w:color="auto"/>
                                    <w:bottom w:val="none" w:sz="0" w:space="0" w:color="auto"/>
                                    <w:right w:val="none" w:sz="0" w:space="0" w:color="auto"/>
                                  </w:divBdr>
                                  <w:divsChild>
                                    <w:div w:id="533538248">
                                      <w:marLeft w:val="0"/>
                                      <w:marRight w:val="0"/>
                                      <w:marTop w:val="0"/>
                                      <w:marBottom w:val="0"/>
                                      <w:divBdr>
                                        <w:top w:val="none" w:sz="0" w:space="0" w:color="auto"/>
                                        <w:left w:val="none" w:sz="0" w:space="0" w:color="auto"/>
                                        <w:bottom w:val="none" w:sz="0" w:space="0" w:color="auto"/>
                                        <w:right w:val="none" w:sz="0" w:space="0" w:color="auto"/>
                                      </w:divBdr>
                                    </w:div>
                                    <w:div w:id="1788348353">
                                      <w:marLeft w:val="0"/>
                                      <w:marRight w:val="0"/>
                                      <w:marTop w:val="0"/>
                                      <w:marBottom w:val="0"/>
                                      <w:divBdr>
                                        <w:top w:val="none" w:sz="0" w:space="0" w:color="auto"/>
                                        <w:left w:val="none" w:sz="0" w:space="0" w:color="auto"/>
                                        <w:bottom w:val="none" w:sz="0" w:space="0" w:color="auto"/>
                                        <w:right w:val="none" w:sz="0" w:space="0" w:color="auto"/>
                                      </w:divBdr>
                                    </w:div>
                                  </w:divsChild>
                                </w:div>
                                <w:div w:id="1371227694">
                                  <w:marLeft w:val="0"/>
                                  <w:marRight w:val="0"/>
                                  <w:marTop w:val="0"/>
                                  <w:marBottom w:val="0"/>
                                  <w:divBdr>
                                    <w:top w:val="none" w:sz="0" w:space="0" w:color="auto"/>
                                    <w:left w:val="none" w:sz="0" w:space="0" w:color="auto"/>
                                    <w:bottom w:val="dotted" w:sz="6" w:space="0" w:color="AAA68D"/>
                                    <w:right w:val="none" w:sz="0" w:space="0" w:color="auto"/>
                                  </w:divBdr>
                                </w:div>
                                <w:div w:id="2145273345">
                                  <w:marLeft w:val="0"/>
                                  <w:marRight w:val="0"/>
                                  <w:marTop w:val="0"/>
                                  <w:marBottom w:val="0"/>
                                  <w:divBdr>
                                    <w:top w:val="none" w:sz="0" w:space="0" w:color="auto"/>
                                    <w:left w:val="none" w:sz="0" w:space="0" w:color="auto"/>
                                    <w:bottom w:val="none" w:sz="0" w:space="0" w:color="auto"/>
                                    <w:right w:val="none" w:sz="0" w:space="0" w:color="auto"/>
                                  </w:divBdr>
                                </w:div>
                                <w:div w:id="696661369">
                                  <w:marLeft w:val="0"/>
                                  <w:marRight w:val="0"/>
                                  <w:marTop w:val="0"/>
                                  <w:marBottom w:val="0"/>
                                  <w:divBdr>
                                    <w:top w:val="none" w:sz="0" w:space="0" w:color="auto"/>
                                    <w:left w:val="none" w:sz="0" w:space="0" w:color="auto"/>
                                    <w:bottom w:val="none" w:sz="0" w:space="0" w:color="auto"/>
                                    <w:right w:val="none" w:sz="0" w:space="0" w:color="auto"/>
                                  </w:divBdr>
                                </w:div>
                                <w:div w:id="2075883562">
                                  <w:marLeft w:val="0"/>
                                  <w:marRight w:val="0"/>
                                  <w:marTop w:val="0"/>
                                  <w:marBottom w:val="0"/>
                                  <w:divBdr>
                                    <w:top w:val="none" w:sz="0" w:space="0" w:color="auto"/>
                                    <w:left w:val="none" w:sz="0" w:space="0" w:color="auto"/>
                                    <w:bottom w:val="none" w:sz="0" w:space="0" w:color="auto"/>
                                    <w:right w:val="none" w:sz="0" w:space="0" w:color="auto"/>
                                  </w:divBdr>
                                </w:div>
                                <w:div w:id="493110989">
                                  <w:marLeft w:val="0"/>
                                  <w:marRight w:val="0"/>
                                  <w:marTop w:val="0"/>
                                  <w:marBottom w:val="0"/>
                                  <w:divBdr>
                                    <w:top w:val="none" w:sz="0" w:space="0" w:color="auto"/>
                                    <w:left w:val="none" w:sz="0" w:space="0" w:color="auto"/>
                                    <w:bottom w:val="none" w:sz="0" w:space="0" w:color="auto"/>
                                    <w:right w:val="none" w:sz="0" w:space="0" w:color="auto"/>
                                  </w:divBdr>
                                </w:div>
                                <w:div w:id="867454725">
                                  <w:marLeft w:val="0"/>
                                  <w:marRight w:val="0"/>
                                  <w:marTop w:val="0"/>
                                  <w:marBottom w:val="0"/>
                                  <w:divBdr>
                                    <w:top w:val="none" w:sz="0" w:space="0" w:color="auto"/>
                                    <w:left w:val="none" w:sz="0" w:space="0" w:color="auto"/>
                                    <w:bottom w:val="none" w:sz="0" w:space="0" w:color="auto"/>
                                    <w:right w:val="none" w:sz="0" w:space="0" w:color="auto"/>
                                  </w:divBdr>
                                </w:div>
                                <w:div w:id="547181669">
                                  <w:marLeft w:val="0"/>
                                  <w:marRight w:val="0"/>
                                  <w:marTop w:val="0"/>
                                  <w:marBottom w:val="0"/>
                                  <w:divBdr>
                                    <w:top w:val="none" w:sz="0" w:space="0" w:color="auto"/>
                                    <w:left w:val="none" w:sz="0" w:space="0" w:color="auto"/>
                                    <w:bottom w:val="none" w:sz="0" w:space="0" w:color="auto"/>
                                    <w:right w:val="none" w:sz="0" w:space="0" w:color="auto"/>
                                  </w:divBdr>
                                </w:div>
                                <w:div w:id="1175418293">
                                  <w:marLeft w:val="0"/>
                                  <w:marRight w:val="0"/>
                                  <w:marTop w:val="0"/>
                                  <w:marBottom w:val="0"/>
                                  <w:divBdr>
                                    <w:top w:val="none" w:sz="0" w:space="0" w:color="auto"/>
                                    <w:left w:val="none" w:sz="0" w:space="0" w:color="auto"/>
                                    <w:bottom w:val="none" w:sz="0" w:space="0" w:color="auto"/>
                                    <w:right w:val="none" w:sz="0" w:space="0" w:color="auto"/>
                                  </w:divBdr>
                                </w:div>
                                <w:div w:id="1311670185">
                                  <w:marLeft w:val="0"/>
                                  <w:marRight w:val="0"/>
                                  <w:marTop w:val="0"/>
                                  <w:marBottom w:val="0"/>
                                  <w:divBdr>
                                    <w:top w:val="none" w:sz="0" w:space="0" w:color="auto"/>
                                    <w:left w:val="none" w:sz="0" w:space="0" w:color="auto"/>
                                    <w:bottom w:val="none" w:sz="0" w:space="0" w:color="auto"/>
                                    <w:right w:val="none" w:sz="0" w:space="0" w:color="auto"/>
                                  </w:divBdr>
                                </w:div>
                                <w:div w:id="627856816">
                                  <w:marLeft w:val="0"/>
                                  <w:marRight w:val="0"/>
                                  <w:marTop w:val="0"/>
                                  <w:marBottom w:val="0"/>
                                  <w:divBdr>
                                    <w:top w:val="none" w:sz="0" w:space="0" w:color="auto"/>
                                    <w:left w:val="none" w:sz="0" w:space="0" w:color="auto"/>
                                    <w:bottom w:val="none" w:sz="0" w:space="0" w:color="auto"/>
                                    <w:right w:val="none" w:sz="0" w:space="0" w:color="auto"/>
                                  </w:divBdr>
                                </w:div>
                                <w:div w:id="1743066023">
                                  <w:marLeft w:val="0"/>
                                  <w:marRight w:val="0"/>
                                  <w:marTop w:val="0"/>
                                  <w:marBottom w:val="0"/>
                                  <w:divBdr>
                                    <w:top w:val="none" w:sz="0" w:space="0" w:color="auto"/>
                                    <w:left w:val="none" w:sz="0" w:space="0" w:color="auto"/>
                                    <w:bottom w:val="none" w:sz="0" w:space="0" w:color="auto"/>
                                    <w:right w:val="none" w:sz="0" w:space="0" w:color="auto"/>
                                  </w:divBdr>
                                </w:div>
                                <w:div w:id="1770009004">
                                  <w:marLeft w:val="0"/>
                                  <w:marRight w:val="0"/>
                                  <w:marTop w:val="0"/>
                                  <w:marBottom w:val="0"/>
                                  <w:divBdr>
                                    <w:top w:val="none" w:sz="0" w:space="0" w:color="auto"/>
                                    <w:left w:val="none" w:sz="0" w:space="0" w:color="auto"/>
                                    <w:bottom w:val="none" w:sz="0" w:space="0" w:color="auto"/>
                                    <w:right w:val="none" w:sz="0" w:space="0" w:color="auto"/>
                                  </w:divBdr>
                                </w:div>
                                <w:div w:id="537857323">
                                  <w:marLeft w:val="0"/>
                                  <w:marRight w:val="0"/>
                                  <w:marTop w:val="0"/>
                                  <w:marBottom w:val="0"/>
                                  <w:divBdr>
                                    <w:top w:val="none" w:sz="0" w:space="0" w:color="auto"/>
                                    <w:left w:val="none" w:sz="0" w:space="0" w:color="auto"/>
                                    <w:bottom w:val="dotted" w:sz="6" w:space="0" w:color="AAA68D"/>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ompartilhar('http://promote.orkut.com/preview?nt=orkut.com&amp;tt=Revista%20&#194;mbito%20Jur&#237;dico%20-%20Civil&amp;du=http://www.ambitojuridico.com.br/%252Fsite%252Findex.php%253Fn_link%253Drevista_artigos_leitura%2526artigo_id%253D6806&amp;cn=Da%20possibilidade%20de%20indeniza&#231;&#227;o%20por%20benfeitorias%20em%20ocupa&#231;&#227;o%20de%20&#225;reas%20p&#250;blicas');" TargetMode="External"/><Relationship Id="rId13" Type="http://schemas.openxmlformats.org/officeDocument/2006/relationships/hyperlink" Target="http://www.tjmg.jus.br/juridico/jt_/juris_resultado.jsp?tipoTribunal=1&amp;comrCodigo=0592&amp;ano=05&amp;txt_processo=930468&amp;dv=9&amp;complemento=001&amp;acordaoEmenta=acordao&amp;palavrasConsulta=&amp;tipoFiltro=and&amp;orderByData=0&amp;relator=&amp;dataInicial=&amp;dataFinal=28%2F07%2F2009&amp;resultPagina=10&amp;dataAcordaoInicial=&amp;dataAcordaoFinal=&amp;pesquisar=Pesquisar" TargetMode="External"/><Relationship Id="rId3" Type="http://schemas.openxmlformats.org/officeDocument/2006/relationships/settings" Target="settings.xml"/><Relationship Id="rId7" Type="http://schemas.openxmlformats.org/officeDocument/2006/relationships/hyperlink" Target="javascript:compartilhar('https://twitter.com/intent/tweet?original_referer=http%253A%252F%252Fwww.ambito-juridico.com.br%252Fsite%252Findex.php%253Fn_link%253Drevista_artigos_leitura%2526artigo_id%253D6806&amp;source=tweetbutton&amp;text=Revista%2520%25C3%2582mbito%2520Jur%25C3%25ADdico%2520-%2520Civil-Da%2520possibilidade%2520de%2520indeniza%25C3%25A7%25C3%25A3o%2520por%2520benfeitorias%2520em%2520ocupa%25C3%25A7%25C3%25A3o%2520de%2520%25C3%25A1reas%2520p%25C3%25BAblicas&amp;url=http%253A%252F%252Fwww.ambito-juridico.com.br%252Fsite%252Findex.php%253Fn_link%253Drevista_artigos_leitura%2526artigo_id%253D6806');" TargetMode="External"/><Relationship Id="rId12" Type="http://schemas.openxmlformats.org/officeDocument/2006/relationships/hyperlink" Target="http://www.tjdft.jus.br/juris/juris_intcomp/juris_adm_civil1.as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compartilhar('http://www.facebook.com/sharer.php?u='+encodeURIComponent('http://www.ambito-juridico.com.br/site/index.php?n_link=revista_artigos_leitura&amp;artigo_id=6806')+'&amp;t='+encodeURIComponent('Revista%2520%25C3%2582mbito%2520Jur%25C3%25ADdico%2520-%2520Civil-Da%20possibilidade%20de%20indeniza&#231;&#227;o%20por%20benfeitorias%20em%20ocupa&#231;&#227;o%20de%20&#225;reas%20p&#250;blicas')+'&amp;src=sp');" TargetMode="External"/><Relationship Id="rId11" Type="http://schemas.openxmlformats.org/officeDocument/2006/relationships/hyperlink" Target="http://juris.tjdft.jus.br/docjur/260261/261891.doc" TargetMode="External"/><Relationship Id="rId5" Type="http://schemas.openxmlformats.org/officeDocument/2006/relationships/hyperlink" Target="javascript:window.print();" TargetMode="External"/><Relationship Id="rId15" Type="http://schemas.openxmlformats.org/officeDocument/2006/relationships/theme" Target="theme/theme1.xml"/><Relationship Id="rId10" Type="http://schemas.openxmlformats.org/officeDocument/2006/relationships/hyperlink" Target="http://www.stj.gov.br/portal_stj/publicacao/engine.wsp?tmp.area=398&amp;tmp.texto=92861&amp;tmp.area_anterior=44&amp;tmp.argumento_pesquisa" TargetMode="External"/><Relationship Id="rId4" Type="http://schemas.openxmlformats.org/officeDocument/2006/relationships/webSettings" Target="webSettings.xml"/><Relationship Id="rId9" Type="http://schemas.openxmlformats.org/officeDocument/2006/relationships/hyperlink" Target="http://www.stj.gov.br/SCON/jurisprudencia/toc.jsp?tipo_visualizacao=RESUMO&amp;livre=REsp+863939+&amp;b=ACO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3104</Words>
  <Characters>16767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Tribunal de Contas do Município de São Paulo</Company>
  <LinksUpToDate>false</LinksUpToDate>
  <CharactersWithSpaces>19832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Pinheiro Silva</dc:creator>
  <cp:lastModifiedBy>Carla Pinheiro Silva</cp:lastModifiedBy>
  <cp:revision>2</cp:revision>
  <dcterms:created xsi:type="dcterms:W3CDTF">2018-09-03T14:11:00Z</dcterms:created>
  <dcterms:modified xsi:type="dcterms:W3CDTF">2018-09-03T14:13:00Z</dcterms:modified>
</cp:coreProperties>
</file>