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84" w:rsidRPr="00122D84" w:rsidRDefault="00122D84" w:rsidP="00122D84">
      <w:pPr>
        <w:shd w:val="clear" w:color="auto" w:fill="EEEEEE"/>
        <w:spacing w:after="100" w:afterAutospacing="1" w:line="240" w:lineRule="auto"/>
        <w:outlineLvl w:val="2"/>
        <w:rPr>
          <w:rFonts w:ascii="Arial" w:eastAsia="Times New Roman" w:hAnsi="Arial" w:cs="Arial"/>
          <w:color w:val="2A4070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2A4070"/>
          <w:sz w:val="24"/>
          <w:szCs w:val="24"/>
          <w:lang w:eastAsia="pt-BR"/>
        </w:rPr>
        <w:t>TCU - PESQUISAS</w:t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Times New Roman"/>
          <w:color w:val="00008B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fldChar w:fldCharType="begin"/>
      </w: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instrText xml:space="preserve"> HYPERLINK "https://contas.tcu.gov.br/sagas/SvlVisualizarRelVotoAcRtf?codFiltro=SAGAS-SESSAO-ENCERRADA&amp;seOcultaPagina=S&amp;item0=648698" \t "_blank" </w:instrText>
      </w: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fldChar w:fldCharType="separate"/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00008B"/>
          <w:sz w:val="24"/>
          <w:szCs w:val="24"/>
          <w:lang w:eastAsia="pt-BR"/>
        </w:rPr>
        <w:t>ACÓRDÃO 2677/2018 - PLENÁRIO</w:t>
      </w:r>
    </w:p>
    <w:p w:rsidR="009C6BAC" w:rsidRPr="009C6BAC" w:rsidRDefault="009C6BAC" w:rsidP="0048217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fldChar w:fldCharType="end"/>
      </w:r>
      <w:r w:rsidRPr="009C6BAC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Relator</w:t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BENJAMIN ZYMLER</w:t>
      </w:r>
    </w:p>
    <w:p w:rsidR="009C6BAC" w:rsidRPr="009C6BAC" w:rsidRDefault="009C6BAC" w:rsidP="009C6BAC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9C6BAC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Processo</w:t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hyperlink r:id="rId6" w:tgtFrame="_blank" w:history="1">
        <w:r w:rsidRPr="009C6BAC">
          <w:rPr>
            <w:rFonts w:ascii="Segoe UI" w:eastAsia="Times New Roman" w:hAnsi="Segoe UI" w:cs="Segoe UI"/>
            <w:color w:val="00008B"/>
            <w:sz w:val="24"/>
            <w:szCs w:val="24"/>
            <w:lang w:eastAsia="pt-BR"/>
          </w:rPr>
          <w:t>000.168/2016-5</w:t>
        </w:r>
      </w:hyperlink>
    </w:p>
    <w:p w:rsidR="009C6BAC" w:rsidRPr="009C6BAC" w:rsidRDefault="009C6BAC" w:rsidP="009C6BAC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9C6BAC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Tipo de processo</w:t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TOMADA DE CONTAS ESPECIAL (TCE)</w:t>
      </w:r>
    </w:p>
    <w:p w:rsidR="009C6BAC" w:rsidRPr="009C6BAC" w:rsidRDefault="009C6BAC" w:rsidP="009C6BAC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9C6BAC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Data da sessão</w:t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21/11/2018</w:t>
      </w:r>
    </w:p>
    <w:p w:rsidR="009C6BAC" w:rsidRPr="009C6BAC" w:rsidRDefault="00D20913" w:rsidP="009C6BAC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2A4070"/>
          <w:sz w:val="27"/>
          <w:szCs w:val="27"/>
          <w:lang w:eastAsia="pt-BR"/>
        </w:rPr>
      </w:pPr>
      <w:proofErr w:type="gramStart"/>
      <w:r>
        <w:rPr>
          <w:rFonts w:ascii="Segoe UI" w:eastAsia="Times New Roman" w:hAnsi="Segoe UI" w:cs="Segoe UI"/>
          <w:color w:val="2A4070"/>
          <w:sz w:val="27"/>
          <w:szCs w:val="27"/>
          <w:lang w:eastAsia="pt-BR"/>
        </w:rPr>
        <w:t>f</w:t>
      </w:r>
      <w:r w:rsidR="009C6BAC" w:rsidRPr="009C6BAC">
        <w:rPr>
          <w:rFonts w:ascii="Segoe UI" w:eastAsia="Times New Roman" w:hAnsi="Segoe UI" w:cs="Segoe UI"/>
          <w:color w:val="2A4070"/>
          <w:sz w:val="27"/>
          <w:szCs w:val="27"/>
          <w:lang w:eastAsia="pt-BR"/>
        </w:rPr>
        <w:t>ragmentos</w:t>
      </w:r>
      <w:proofErr w:type="gramEnd"/>
      <w:r w:rsidR="009C6BAC" w:rsidRPr="009C6BAC">
        <w:rPr>
          <w:rFonts w:ascii="Segoe UI" w:eastAsia="Times New Roman" w:hAnsi="Segoe UI" w:cs="Segoe UI"/>
          <w:color w:val="2A4070"/>
          <w:sz w:val="27"/>
          <w:szCs w:val="27"/>
          <w:lang w:eastAsia="pt-BR"/>
        </w:rPr>
        <w:t xml:space="preserve"> do Inteiro Teor</w:t>
      </w:r>
    </w:p>
    <w:p w:rsidR="009C6BAC" w:rsidRPr="00D20913" w:rsidRDefault="009C6BAC" w:rsidP="009C6B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2B2C"/>
          <w:sz w:val="18"/>
          <w:szCs w:val="18"/>
          <w:lang w:eastAsia="pt-BR"/>
        </w:rPr>
      </w:pPr>
      <w:r w:rsidRPr="00D20913">
        <w:rPr>
          <w:rFonts w:ascii="Arial" w:eastAsia="Times New Roman" w:hAnsi="Arial" w:cs="Arial"/>
          <w:color w:val="292B2C"/>
          <w:sz w:val="18"/>
          <w:szCs w:val="18"/>
          <w:lang w:eastAsia="pt-BR"/>
        </w:rPr>
        <w:t>...n. 8.666/93, art. 65, II, d) na hipótese de aumento salarial dos empregados em virtude de </w:t>
      </w:r>
      <w:r w:rsidRPr="00D20913">
        <w:rPr>
          <w:rFonts w:ascii="Arial" w:eastAsia="Times New Roman" w:hAnsi="Arial" w:cs="Arial"/>
          <w:color w:val="292B2C"/>
          <w:sz w:val="18"/>
          <w:szCs w:val="18"/>
          <w:shd w:val="clear" w:color="auto" w:fill="FFD519"/>
          <w:lang w:eastAsia="pt-BR"/>
        </w:rPr>
        <w:t>dissídio</w:t>
      </w:r>
      <w:r w:rsidRPr="00D20913">
        <w:rPr>
          <w:rFonts w:ascii="Arial" w:eastAsia="Times New Roman" w:hAnsi="Arial" w:cs="Arial"/>
          <w:color w:val="292B2C"/>
          <w:sz w:val="18"/>
          <w:szCs w:val="18"/>
          <w:lang w:eastAsia="pt-BR"/>
        </w:rPr>
        <w:t> coletivo. Reconhecida a possibilidade de reajuste do contrato, tal como previsto no art. 65 da Lei n. 8.666/93, 'no período anual, contado da última ocorrência verificada (assinatura, </w:t>
      </w:r>
      <w:r w:rsidRPr="00D20913">
        <w:rPr>
          <w:rFonts w:ascii="Arial" w:eastAsia="Times New Roman" w:hAnsi="Arial" w:cs="Arial"/>
          <w:color w:val="292B2C"/>
          <w:sz w:val="18"/>
          <w:szCs w:val="18"/>
          <w:shd w:val="clear" w:color="auto" w:fill="FFD519"/>
          <w:lang w:eastAsia="pt-BR"/>
        </w:rPr>
        <w:t>repactuação</w:t>
      </w:r>
      <w:proofErr w:type="gramStart"/>
      <w:r w:rsidRPr="00D20913">
        <w:rPr>
          <w:rFonts w:ascii="Arial" w:eastAsia="Times New Roman" w:hAnsi="Arial" w:cs="Arial"/>
          <w:color w:val="292B2C"/>
          <w:sz w:val="18"/>
          <w:szCs w:val="18"/>
          <w:shd w:val="clear" w:color="auto" w:fill="FFD519"/>
          <w:lang w:eastAsia="pt-BR"/>
        </w:rPr>
        <w:t>,</w:t>
      </w:r>
      <w:r w:rsidRPr="00D20913">
        <w:rPr>
          <w:rFonts w:ascii="Arial" w:eastAsia="Times New Roman" w:hAnsi="Arial" w:cs="Arial"/>
          <w:color w:val="292B2C"/>
          <w:sz w:val="18"/>
          <w:szCs w:val="18"/>
          <w:lang w:eastAsia="pt-BR"/>
        </w:rPr>
        <w:t>...</w:t>
      </w:r>
      <w:proofErr w:type="gramEnd"/>
    </w:p>
    <w:p w:rsidR="009C6BAC" w:rsidRPr="00D20913" w:rsidRDefault="009C6BAC" w:rsidP="009C6B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2B2C"/>
          <w:sz w:val="18"/>
          <w:szCs w:val="18"/>
          <w:lang w:eastAsia="pt-BR"/>
        </w:rPr>
      </w:pPr>
      <w:r w:rsidRPr="00D20913">
        <w:rPr>
          <w:rFonts w:ascii="Arial" w:eastAsia="Times New Roman" w:hAnsi="Arial" w:cs="Arial"/>
          <w:color w:val="292B2C"/>
          <w:sz w:val="18"/>
          <w:szCs w:val="18"/>
          <w:lang w:eastAsia="pt-BR"/>
        </w:rPr>
        <w:t>...a proposta se referir, sendo que, nessa última hipótese, considera-se como data do orçamento a data do acordo, convenção, </w:t>
      </w:r>
      <w:r w:rsidRPr="00D20913">
        <w:rPr>
          <w:rFonts w:ascii="Arial" w:eastAsia="Times New Roman" w:hAnsi="Arial" w:cs="Arial"/>
          <w:color w:val="292B2C"/>
          <w:sz w:val="18"/>
          <w:szCs w:val="18"/>
          <w:shd w:val="clear" w:color="auto" w:fill="FFD519"/>
          <w:lang w:eastAsia="pt-BR"/>
        </w:rPr>
        <w:t>dissídio</w:t>
      </w:r>
      <w:r w:rsidRPr="00D20913">
        <w:rPr>
          <w:rFonts w:ascii="Arial" w:eastAsia="Times New Roman" w:hAnsi="Arial" w:cs="Arial"/>
          <w:color w:val="292B2C"/>
          <w:sz w:val="18"/>
          <w:szCs w:val="18"/>
          <w:lang w:eastAsia="pt-BR"/>
        </w:rPr>
        <w:t> coletivo de trabalho ou equivalente que estipular o salário vigente à época da apresentação da proposta, vedada a inclusão, por ocasião da </w:t>
      </w:r>
      <w:r w:rsidRPr="00D20913">
        <w:rPr>
          <w:rFonts w:ascii="Arial" w:eastAsia="Times New Roman" w:hAnsi="Arial" w:cs="Arial"/>
          <w:color w:val="292B2C"/>
          <w:sz w:val="18"/>
          <w:szCs w:val="18"/>
          <w:shd w:val="clear" w:color="auto" w:fill="FFD519"/>
          <w:lang w:eastAsia="pt-BR"/>
        </w:rPr>
        <w:t>repactuação,</w:t>
      </w:r>
      <w:r w:rsidRPr="00D20913">
        <w:rPr>
          <w:rFonts w:ascii="Arial" w:eastAsia="Times New Roman" w:hAnsi="Arial" w:cs="Arial"/>
          <w:color w:val="292B2C"/>
          <w:sz w:val="18"/>
          <w:szCs w:val="18"/>
          <w:lang w:eastAsia="pt-BR"/>
        </w:rPr>
        <w:t> de antecipações e...</w:t>
      </w:r>
    </w:p>
    <w:p w:rsidR="009C6BAC" w:rsidRDefault="009C6BAC" w:rsidP="009C6BAC">
      <w:pPr>
        <w:pStyle w:val="listparagraph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>Em rápida leitura das decisões, verifica-se que basicamente as avenças decorrem do fato de que tais empresas, pouco tempo após o início da vigência de seus contratos administrativos, pleiteiam o reequilíbrio-financeiro do contrato antes mesmo da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</w:t>
      </w:r>
      <w:r>
        <w:rPr>
          <w:rFonts w:ascii="Segoe UI" w:hAnsi="Segoe UI" w:cs="Segoe UI"/>
          <w:i/>
          <w:iCs/>
          <w:color w:val="292B2C"/>
        </w:rPr>
        <w:t xml:space="preserve"> ou reajuste anual do previstos. Segundo o Acórdão 1.563/2004-TCU-Plenário, Relator Ministro Augusto </w:t>
      </w:r>
      <w:proofErr w:type="spellStart"/>
      <w:r>
        <w:rPr>
          <w:rFonts w:ascii="Segoe UI" w:hAnsi="Segoe UI" w:cs="Segoe UI"/>
          <w:i/>
          <w:iCs/>
          <w:color w:val="292B2C"/>
        </w:rPr>
        <w:t>Sherman</w:t>
      </w:r>
      <w:proofErr w:type="spellEnd"/>
      <w:r>
        <w:rPr>
          <w:rFonts w:ascii="Segoe UI" w:hAnsi="Segoe UI" w:cs="Segoe UI"/>
          <w:i/>
          <w:iCs/>
          <w:color w:val="292B2C"/>
        </w:rPr>
        <w:t>:</w:t>
      </w:r>
    </w:p>
    <w:p w:rsidR="009C6BAC" w:rsidRDefault="009C6BAC" w:rsidP="009C6BAC">
      <w:pPr>
        <w:pStyle w:val="citao1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 xml:space="preserve">9.1.2. </w:t>
      </w:r>
      <w:proofErr w:type="gramStart"/>
      <w:r>
        <w:rPr>
          <w:rFonts w:ascii="Segoe UI" w:hAnsi="Segoe UI" w:cs="Segoe UI"/>
          <w:i/>
          <w:iCs/>
          <w:color w:val="292B2C"/>
        </w:rPr>
        <w:t>os</w:t>
      </w:r>
      <w:proofErr w:type="gramEnd"/>
      <w:r>
        <w:rPr>
          <w:rFonts w:ascii="Segoe UI" w:hAnsi="Segoe UI" w:cs="Segoe UI"/>
          <w:i/>
          <w:iCs/>
          <w:color w:val="292B2C"/>
        </w:rPr>
        <w:t xml:space="preserve"> incrementos dos custos de mão-de-obra ocasionados pela data-base de cada categoria profissional nos contratos de </w:t>
      </w:r>
      <w:r>
        <w:rPr>
          <w:rFonts w:ascii="Segoe UI" w:hAnsi="Segoe UI" w:cs="Segoe UI"/>
          <w:b/>
          <w:bCs/>
          <w:i/>
          <w:iCs/>
          <w:color w:val="292B2C"/>
        </w:rPr>
        <w:t>prestação de serviços de natureza contínua</w:t>
      </w:r>
      <w:r w:rsidR="00D20913">
        <w:rPr>
          <w:rFonts w:ascii="Segoe UI" w:hAnsi="Segoe UI" w:cs="Segoe UI"/>
          <w:b/>
          <w:bCs/>
          <w:i/>
          <w:iCs/>
          <w:color w:val="292B2C"/>
        </w:rPr>
        <w:t xml:space="preserve"> </w:t>
      </w:r>
      <w:r>
        <w:rPr>
          <w:rFonts w:ascii="Segoe UI" w:hAnsi="Segoe UI" w:cs="Segoe UI"/>
          <w:i/>
          <w:iCs/>
          <w:color w:val="292B2C"/>
        </w:rPr>
        <w:t>não se constituem em fundamento para a alegação de desequilíbrio econômico-financeiro;</w:t>
      </w:r>
    </w:p>
    <w:p w:rsidR="009C6BAC" w:rsidRDefault="009C6BAC" w:rsidP="009C6BAC">
      <w:pPr>
        <w:pStyle w:val="citao1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 xml:space="preserve">9.1.3. </w:t>
      </w:r>
      <w:proofErr w:type="gramStart"/>
      <w:r>
        <w:rPr>
          <w:rFonts w:ascii="Segoe UI" w:hAnsi="Segoe UI" w:cs="Segoe UI"/>
          <w:i/>
          <w:iCs/>
          <w:color w:val="292B2C"/>
        </w:rPr>
        <w:t>no</w:t>
      </w:r>
      <w:proofErr w:type="gramEnd"/>
      <w:r>
        <w:rPr>
          <w:rFonts w:ascii="Segoe UI" w:hAnsi="Segoe UI" w:cs="Segoe UI"/>
          <w:i/>
          <w:iCs/>
          <w:color w:val="292B2C"/>
        </w:rPr>
        <w:t xml:space="preserve"> caso da primeira </w:t>
      </w:r>
      <w:r>
        <w:rPr>
          <w:rStyle w:val="nfase"/>
          <w:rFonts w:ascii="Segoe UI" w:hAnsi="Segoe UI" w:cs="Segoe UI"/>
          <w:b/>
          <w:bCs/>
          <w:i w:val="0"/>
          <w:iCs w:val="0"/>
          <w:color w:val="292B2C"/>
          <w:shd w:val="clear" w:color="auto" w:fill="FFD519"/>
        </w:rPr>
        <w:t>repactuação</w:t>
      </w:r>
      <w:r>
        <w:rPr>
          <w:rFonts w:ascii="Segoe UI" w:hAnsi="Segoe UI" w:cs="Segoe UI"/>
          <w:i/>
          <w:iCs/>
          <w:color w:val="292B2C"/>
        </w:rPr>
        <w:t> dos contratos de prestação de serviços de </w:t>
      </w:r>
      <w:r>
        <w:rPr>
          <w:rFonts w:ascii="Segoe UI" w:hAnsi="Segoe UI" w:cs="Segoe UI"/>
          <w:b/>
          <w:bCs/>
          <w:i/>
          <w:iCs/>
          <w:color w:val="292B2C"/>
        </w:rPr>
        <w:t>natureza contínua</w:t>
      </w:r>
      <w:r>
        <w:rPr>
          <w:rFonts w:ascii="Segoe UI" w:hAnsi="Segoe UI" w:cs="Segoe UI"/>
          <w:i/>
          <w:iCs/>
          <w:color w:val="292B2C"/>
        </w:rPr>
        <w:t>, o prazo mínimo de um ano a que se refere o item 8.1 da Decisão 457/1995 - Plenário conta-se a partir da apresentação da proposta ou da data do orçamento a que a proposta se referir, sendo que, nessa última hipótese, considera-se como data do orçamento a data do acordo, convenção,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dissídio</w:t>
      </w:r>
      <w:r>
        <w:rPr>
          <w:rFonts w:ascii="Segoe UI" w:hAnsi="Segoe UI" w:cs="Segoe UI"/>
          <w:i/>
          <w:iCs/>
          <w:color w:val="292B2C"/>
        </w:rPr>
        <w:t> coletivo de trabalho ou equivalente que estipular o salário vigente à época da apresentação da proposta, vedada a inclusão, por ocasião da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repactuação,</w:t>
      </w:r>
      <w:r>
        <w:rPr>
          <w:rFonts w:ascii="Segoe UI" w:hAnsi="Segoe UI" w:cs="Segoe UI"/>
          <w:i/>
          <w:iCs/>
          <w:color w:val="292B2C"/>
        </w:rPr>
        <w:t> de antecipações e de benefícios não previstos originariamente, nos termos do disposto no art. 5° do Decreto 2.271/97 e do item 7.2 da IN/Mare 18/97;</w:t>
      </w:r>
    </w:p>
    <w:p w:rsidR="009C6BAC" w:rsidRDefault="009C6BAC" w:rsidP="009C6BAC">
      <w:pPr>
        <w:pStyle w:val="citao1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 xml:space="preserve">9.1.4. </w:t>
      </w:r>
      <w:proofErr w:type="gramStart"/>
      <w:r>
        <w:rPr>
          <w:rFonts w:ascii="Segoe UI" w:hAnsi="Segoe UI" w:cs="Segoe UI"/>
          <w:i/>
          <w:iCs/>
          <w:color w:val="292B2C"/>
        </w:rPr>
        <w:t>no</w:t>
      </w:r>
      <w:proofErr w:type="gramEnd"/>
      <w:r>
        <w:rPr>
          <w:rFonts w:ascii="Segoe UI" w:hAnsi="Segoe UI" w:cs="Segoe UI"/>
          <w:i/>
          <w:iCs/>
          <w:color w:val="292B2C"/>
        </w:rPr>
        <w:t xml:space="preserve"> caso das </w:t>
      </w:r>
      <w:r>
        <w:rPr>
          <w:rFonts w:ascii="Segoe UI" w:hAnsi="Segoe UI" w:cs="Segoe UI"/>
          <w:b/>
          <w:bCs/>
          <w:i/>
          <w:iCs/>
          <w:color w:val="292B2C"/>
        </w:rPr>
        <w:t>repactuações</w:t>
      </w:r>
      <w:r>
        <w:rPr>
          <w:rFonts w:ascii="Segoe UI" w:hAnsi="Segoe UI" w:cs="Segoe UI"/>
          <w:i/>
          <w:iCs/>
          <w:color w:val="292B2C"/>
        </w:rPr>
        <w:t xml:space="preserve"> dos contratos de prestação de serviços de natureza contínua </w:t>
      </w:r>
      <w:proofErr w:type="spellStart"/>
      <w:r>
        <w:rPr>
          <w:rFonts w:ascii="Segoe UI" w:hAnsi="Segoe UI" w:cs="Segoe UI"/>
          <w:i/>
          <w:iCs/>
          <w:color w:val="292B2C"/>
        </w:rPr>
        <w:t>subseqüentes</w:t>
      </w:r>
      <w:proofErr w:type="spellEnd"/>
      <w:r>
        <w:rPr>
          <w:rFonts w:ascii="Segoe UI" w:hAnsi="Segoe UI" w:cs="Segoe UI"/>
          <w:i/>
          <w:iCs/>
          <w:color w:val="292B2C"/>
        </w:rPr>
        <w:t xml:space="preserve"> à primeira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repactuação,</w:t>
      </w:r>
      <w:r>
        <w:rPr>
          <w:rFonts w:ascii="Segoe UI" w:hAnsi="Segoe UI" w:cs="Segoe UI"/>
          <w:i/>
          <w:iCs/>
          <w:color w:val="292B2C"/>
        </w:rPr>
        <w:t xml:space="preserve"> o prazo mínimo de um </w:t>
      </w:r>
      <w:r>
        <w:rPr>
          <w:rFonts w:ascii="Segoe UI" w:hAnsi="Segoe UI" w:cs="Segoe UI"/>
          <w:i/>
          <w:iCs/>
          <w:color w:val="292B2C"/>
        </w:rPr>
        <w:lastRenderedPageBreak/>
        <w:t>ano a que se refere o item 8.1 da Decisão 457/1995 - Plenário conta-se a partir da data da última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repactuação,</w:t>
      </w:r>
      <w:r>
        <w:rPr>
          <w:rFonts w:ascii="Segoe UI" w:hAnsi="Segoe UI" w:cs="Segoe UI"/>
          <w:i/>
          <w:iCs/>
          <w:color w:val="292B2C"/>
        </w:rPr>
        <w:t> nos termos do disposto no art. 5° do Decreto 2.271/97 e do item 7.1 da IN/Mare 18/97;</w:t>
      </w:r>
    </w:p>
    <w:p w:rsidR="009C6BAC" w:rsidRDefault="009C6BAC" w:rsidP="009C6BAC">
      <w:pPr>
        <w:pStyle w:val="citao1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 xml:space="preserve">9.1.5. </w:t>
      </w:r>
      <w:proofErr w:type="gramStart"/>
      <w:r>
        <w:rPr>
          <w:rFonts w:ascii="Segoe UI" w:hAnsi="Segoe UI" w:cs="Segoe UI"/>
          <w:i/>
          <w:iCs/>
          <w:color w:val="292B2C"/>
        </w:rPr>
        <w:t>os</w:t>
      </w:r>
      <w:proofErr w:type="gramEnd"/>
      <w:r>
        <w:rPr>
          <w:rFonts w:ascii="Segoe UI" w:hAnsi="Segoe UI" w:cs="Segoe UI"/>
          <w:i/>
          <w:iCs/>
          <w:color w:val="292B2C"/>
        </w:rPr>
        <w:t xml:space="preserve"> contratos de prestação de serviços de natureza contínua admitem uma única </w:t>
      </w:r>
      <w:r>
        <w:rPr>
          <w:rStyle w:val="nfase"/>
          <w:rFonts w:ascii="Segoe UI" w:hAnsi="Segoe UI" w:cs="Segoe UI"/>
          <w:b/>
          <w:bCs/>
          <w:i w:val="0"/>
          <w:iCs w:val="0"/>
          <w:color w:val="292B2C"/>
          <w:shd w:val="clear" w:color="auto" w:fill="FFD519"/>
        </w:rPr>
        <w:t>repactuação</w:t>
      </w:r>
      <w:r>
        <w:rPr>
          <w:rFonts w:ascii="Segoe UI" w:hAnsi="Segoe UI" w:cs="Segoe UI"/>
          <w:i/>
          <w:iCs/>
          <w:color w:val="292B2C"/>
        </w:rPr>
        <w:t> a ser realizada no interregno mínimo de um ano, conforme estabelecem o art. 2° da Lei 10.192/2000 e o art. 5° do Decreto 2.271/97; (grifos acrescidos)</w:t>
      </w:r>
    </w:p>
    <w:p w:rsidR="009C6BAC" w:rsidRDefault="009C6BAC" w:rsidP="009C6BAC">
      <w:pPr>
        <w:pStyle w:val="listparagraph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 xml:space="preserve">No mesmo sentido, estão os Acórdãos 475/1995-TCU-Plenário e </w:t>
      </w:r>
      <w:proofErr w:type="gramStart"/>
      <w:r>
        <w:rPr>
          <w:rFonts w:ascii="Segoe UI" w:hAnsi="Segoe UI" w:cs="Segoe UI"/>
          <w:i/>
          <w:iCs/>
          <w:color w:val="292B2C"/>
        </w:rPr>
        <w:t>2.255/2005-TCU-Plenário, respectivamente de relatoria dos Ministros Carlos</w:t>
      </w:r>
      <w:proofErr w:type="gramEnd"/>
      <w:r>
        <w:rPr>
          <w:rFonts w:ascii="Segoe UI" w:hAnsi="Segoe UI" w:cs="Segoe UI"/>
          <w:i/>
          <w:iCs/>
          <w:color w:val="292B2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292B2C"/>
        </w:rPr>
        <w:t>Átila</w:t>
      </w:r>
      <w:proofErr w:type="spellEnd"/>
      <w:r>
        <w:rPr>
          <w:rFonts w:ascii="Segoe UI" w:hAnsi="Segoe UI" w:cs="Segoe UI"/>
          <w:i/>
          <w:iCs/>
          <w:color w:val="292B2C"/>
        </w:rPr>
        <w:t xml:space="preserve"> Álvares da Silva e Lincoln Magalhães da Rocha.</w:t>
      </w:r>
    </w:p>
    <w:p w:rsidR="009C6BAC" w:rsidRDefault="009C6BAC" w:rsidP="009C6BAC">
      <w:pPr>
        <w:pStyle w:val="listparagraph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 xml:space="preserve">A citação acima faz justiça ao Exmo. Ministro Relator Augusto </w:t>
      </w:r>
      <w:proofErr w:type="spellStart"/>
      <w:r>
        <w:rPr>
          <w:rFonts w:ascii="Segoe UI" w:hAnsi="Segoe UI" w:cs="Segoe UI"/>
          <w:i/>
          <w:iCs/>
          <w:color w:val="292B2C"/>
        </w:rPr>
        <w:t>Sherman</w:t>
      </w:r>
      <w:proofErr w:type="spellEnd"/>
      <w:r>
        <w:rPr>
          <w:rFonts w:ascii="Segoe UI" w:hAnsi="Segoe UI" w:cs="Segoe UI"/>
          <w:i/>
          <w:iCs/>
          <w:color w:val="292B2C"/>
        </w:rPr>
        <w:t>, haja vista que a defesa utilizou trechos de seu voto de forma que modificou seu sentido original (Peça 204, p. 24</w:t>
      </w:r>
      <w:proofErr w:type="gramStart"/>
      <w:r>
        <w:rPr>
          <w:rFonts w:ascii="Segoe UI" w:hAnsi="Segoe UI" w:cs="Segoe UI"/>
          <w:i/>
          <w:iCs/>
          <w:color w:val="292B2C"/>
        </w:rPr>
        <w:t>) .</w:t>
      </w:r>
      <w:proofErr w:type="gramEnd"/>
      <w:r>
        <w:rPr>
          <w:rFonts w:ascii="Segoe UI" w:hAnsi="Segoe UI" w:cs="Segoe UI"/>
          <w:i/>
          <w:iCs/>
          <w:color w:val="292B2C"/>
        </w:rPr>
        <w:t xml:space="preserve"> Fazendo uso deste voto, argumentou no sentido de que não haveria possibilidade de a empresa repactuar os preços da mão de obra contidos em sua proposta:</w:t>
      </w:r>
    </w:p>
    <w:p w:rsidR="009C6BAC" w:rsidRPr="00D20913" w:rsidRDefault="009C6BAC" w:rsidP="009C6BAC">
      <w:pPr>
        <w:pStyle w:val="citao1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b/>
          <w:color w:val="292B2C"/>
        </w:rPr>
      </w:pPr>
      <w:r w:rsidRPr="00D20913">
        <w:rPr>
          <w:rFonts w:ascii="Segoe UI" w:hAnsi="Segoe UI" w:cs="Segoe UI"/>
          <w:b/>
          <w:i/>
          <w:iCs/>
          <w:color w:val="292B2C"/>
        </w:rPr>
        <w:t>Oportuno reiterar que esta Corte de Contas tem se pronunciado da seguinte maneira em relação ao tema: "Quanto à questão dos reajustes salariais em razão de convenção, acordo ou </w:t>
      </w:r>
      <w:r w:rsidRPr="00D20913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dissídio</w:t>
      </w:r>
      <w:r w:rsidRPr="00D20913">
        <w:rPr>
          <w:rFonts w:ascii="Segoe UI" w:hAnsi="Segoe UI" w:cs="Segoe UI"/>
          <w:b/>
          <w:i/>
          <w:iCs/>
          <w:color w:val="292B2C"/>
        </w:rPr>
        <w:t> coletivo, não tenho dúvidas de que sua natureza jurídica é essencialmente distinta daquela conferida às situações de equilíbrio econômico-financeiro." (...) "Fica, portanto, afastada a possibilidade de se identificar os reajustes decorrentes da data-base das categorias como hipótese ensejadora de reequilíbrio econômico-financeiro 'do contrato de prestação de serviços".</w:t>
      </w:r>
    </w:p>
    <w:p w:rsidR="009C6BAC" w:rsidRDefault="009C6BAC" w:rsidP="009C6BAC">
      <w:pPr>
        <w:pStyle w:val="citao1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>Nesse contexto, e considerando a jurisprudência pátria majoritária, verifica-</w:t>
      </w:r>
      <w:proofErr w:type="gramStart"/>
      <w:r>
        <w:rPr>
          <w:rFonts w:ascii="Segoe UI" w:hAnsi="Segoe UI" w:cs="Segoe UI"/>
          <w:i/>
          <w:iCs/>
          <w:color w:val="292B2C"/>
        </w:rPr>
        <w:t>se</w:t>
      </w:r>
      <w:proofErr w:type="gramEnd"/>
      <w:r>
        <w:rPr>
          <w:rFonts w:ascii="Segoe UI" w:hAnsi="Segoe UI" w:cs="Segoe UI"/>
          <w:i/>
          <w:iCs/>
          <w:color w:val="292B2C"/>
        </w:rPr>
        <w:t xml:space="preserve"> </w:t>
      </w:r>
      <w:proofErr w:type="gramStart"/>
      <w:r>
        <w:rPr>
          <w:rFonts w:ascii="Segoe UI" w:hAnsi="Segoe UI" w:cs="Segoe UI"/>
          <w:i/>
          <w:iCs/>
          <w:color w:val="292B2C"/>
        </w:rPr>
        <w:t>incabível</w:t>
      </w:r>
      <w:proofErr w:type="gramEnd"/>
      <w:r>
        <w:rPr>
          <w:rFonts w:ascii="Segoe UI" w:hAnsi="Segoe UI" w:cs="Segoe UI"/>
          <w:i/>
          <w:iCs/>
          <w:color w:val="292B2C"/>
        </w:rPr>
        <w:t xml:space="preserve"> considerar os valores salariais indicados pela Unidade Técnica, especialmente em um contrato por preço global. (...)</w:t>
      </w:r>
    </w:p>
    <w:p w:rsidR="009C6BAC" w:rsidRDefault="009C6BAC" w:rsidP="009C6BAC">
      <w:pPr>
        <w:pStyle w:val="listparagraph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>As palavras do Relator, acima, se referem à diferenciação entre os conceitos de reajuste, reequilíbrio econômico-financeiro e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repactuação.</w:t>
      </w:r>
      <w:r>
        <w:rPr>
          <w:rFonts w:ascii="Segoe UI" w:hAnsi="Segoe UI" w:cs="Segoe UI"/>
          <w:i/>
          <w:iCs/>
          <w:color w:val="292B2C"/>
        </w:rPr>
        <w:t> Em breve resumo, sem a intenção de se aprofundar no tema, tem-se que:</w:t>
      </w:r>
    </w:p>
    <w:p w:rsidR="009C6BAC" w:rsidRDefault="009C6BAC" w:rsidP="009C6BAC">
      <w:pPr>
        <w:pStyle w:val="nospacing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>Reajuste: é o instrumento legal (art. 40 e 50 da lei 8.666/93) de aplicação automática, e previsão em contrato, que estabelece um índice inflacionário, variação de custos ou critério de atualização com o objetivo de manter o equilíbrio-econômico financeiro ao longo do tempo. Deve possui periodicidade mínima de um ano (Lei 10.192/01</w:t>
      </w:r>
      <w:proofErr w:type="gramStart"/>
      <w:r>
        <w:rPr>
          <w:rFonts w:ascii="Segoe UI" w:hAnsi="Segoe UI" w:cs="Segoe UI"/>
          <w:i/>
          <w:iCs/>
          <w:color w:val="292B2C"/>
        </w:rPr>
        <w:t>) .</w:t>
      </w:r>
      <w:proofErr w:type="gramEnd"/>
    </w:p>
    <w:p w:rsidR="009C6BAC" w:rsidRDefault="009C6BAC" w:rsidP="009C6BAC">
      <w:pPr>
        <w:pStyle w:val="nospacing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 xml:space="preserve">Reequilíbrio econômico-financeiro: está disciplinado nos </w:t>
      </w:r>
      <w:proofErr w:type="spellStart"/>
      <w:r>
        <w:rPr>
          <w:rFonts w:ascii="Segoe UI" w:hAnsi="Segoe UI" w:cs="Segoe UI"/>
          <w:i/>
          <w:iCs/>
          <w:color w:val="292B2C"/>
        </w:rPr>
        <w:t>arts</w:t>
      </w:r>
      <w:proofErr w:type="spellEnd"/>
      <w:r>
        <w:rPr>
          <w:rFonts w:ascii="Segoe UI" w:hAnsi="Segoe UI" w:cs="Segoe UI"/>
          <w:i/>
          <w:iCs/>
          <w:color w:val="292B2C"/>
        </w:rPr>
        <w:t xml:space="preserve">. </w:t>
      </w:r>
      <w:proofErr w:type="gramStart"/>
      <w:r>
        <w:rPr>
          <w:rFonts w:ascii="Segoe UI" w:hAnsi="Segoe UI" w:cs="Segoe UI"/>
          <w:i/>
          <w:iCs/>
          <w:color w:val="292B2C"/>
        </w:rPr>
        <w:t>57, 58 e 65</w:t>
      </w:r>
      <w:proofErr w:type="gramEnd"/>
      <w:r>
        <w:rPr>
          <w:rFonts w:ascii="Segoe UI" w:hAnsi="Segoe UI" w:cs="Segoe UI"/>
          <w:i/>
          <w:iCs/>
          <w:color w:val="292B2C"/>
        </w:rPr>
        <w:t xml:space="preserve"> da Lei n. 8.666/93. Uma vez constatada a ocorrência de fato imprevisível, ou previsível de consequências incalculáveis, que modifique a relação entre os encargos e a </w:t>
      </w:r>
      <w:r>
        <w:rPr>
          <w:rFonts w:ascii="Segoe UI" w:hAnsi="Segoe UI" w:cs="Segoe UI"/>
          <w:i/>
          <w:iCs/>
          <w:color w:val="292B2C"/>
        </w:rPr>
        <w:lastRenderedPageBreak/>
        <w:t>remuneração correspondente, as partes devem recompor a equação econômico-financeira do contrato por meio de aditamento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contratual.</w:t>
      </w:r>
      <w:r>
        <w:rPr>
          <w:rFonts w:ascii="Segoe UI" w:hAnsi="Segoe UI" w:cs="Segoe UI"/>
          <w:i/>
          <w:iCs/>
          <w:color w:val="292B2C"/>
        </w:rPr>
        <w:t> Não há prazo mínimo para a revisão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contratual,</w:t>
      </w:r>
      <w:r>
        <w:rPr>
          <w:rFonts w:ascii="Segoe UI" w:hAnsi="Segoe UI" w:cs="Segoe UI"/>
          <w:i/>
          <w:iCs/>
          <w:color w:val="292B2C"/>
        </w:rPr>
        <w:t> mas a álea extraordinária que modifique o equilíbrio econômico-financeiro deve ser cabalmente demonstrada em processo administrativo.</w:t>
      </w:r>
    </w:p>
    <w:p w:rsidR="009C6BAC" w:rsidRDefault="009C6BAC" w:rsidP="009C6BAC">
      <w:pPr>
        <w:pStyle w:val="nospacing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Repactuação:</w:t>
      </w:r>
      <w:r>
        <w:rPr>
          <w:rFonts w:ascii="Segoe UI" w:hAnsi="Segoe UI" w:cs="Segoe UI"/>
          <w:i/>
          <w:iCs/>
          <w:color w:val="292B2C"/>
        </w:rPr>
        <w:t> trata-se de procedimento não definido em lei, mas criado pelo Decreto Presidencial 2.271/97, com o objetivo de se adequar o preço dos contratos de prestação de serviços de natureza contínua à realidade de mercado. Deve ser observado o interregno mínimo de um ano (contado na forma da legislação) e a demonstração analítica da variação dos custos de produção/insumos.</w:t>
      </w:r>
    </w:p>
    <w:p w:rsidR="009C6BAC" w:rsidRPr="00D20913" w:rsidRDefault="009C6BAC" w:rsidP="009C6BAC">
      <w:pPr>
        <w:pStyle w:val="listparagraph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b/>
          <w:color w:val="292B2C"/>
        </w:rPr>
      </w:pPr>
      <w:r w:rsidRPr="00D20913">
        <w:rPr>
          <w:rFonts w:ascii="Segoe UI" w:hAnsi="Segoe UI" w:cs="Segoe UI"/>
          <w:b/>
          <w:i/>
          <w:iCs/>
          <w:color w:val="292B2C"/>
        </w:rPr>
        <w:t>Portanto, a jurisprudência trazida pela defesa somente confirma que a recomposição salarial, oriunda de </w:t>
      </w:r>
      <w:r w:rsidRPr="00D20913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dissídio</w:t>
      </w:r>
      <w:r w:rsidRPr="00D20913">
        <w:rPr>
          <w:rFonts w:ascii="Segoe UI" w:hAnsi="Segoe UI" w:cs="Segoe UI"/>
          <w:b/>
          <w:i/>
          <w:iCs/>
          <w:color w:val="292B2C"/>
        </w:rPr>
        <w:t> coletivo, não se conecta com a teoria da imprevisão, não ensejando reequilíbrio econômico-financeiro. Aqueles casos trazidos configuram </w:t>
      </w:r>
      <w:r w:rsidRPr="00D20913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repactuação</w:t>
      </w:r>
      <w:r w:rsidRPr="00D20913">
        <w:rPr>
          <w:rFonts w:ascii="Segoe UI" w:hAnsi="Segoe UI" w:cs="Segoe UI"/>
          <w:b/>
          <w:i/>
          <w:iCs/>
          <w:color w:val="292B2C"/>
        </w:rPr>
        <w:t> e deveriam respeitar o prazo legal para o ajuste </w:t>
      </w:r>
      <w:r w:rsidRPr="00D20913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contratual.</w:t>
      </w:r>
      <w:r w:rsidRPr="00D20913">
        <w:rPr>
          <w:rFonts w:ascii="Segoe UI" w:hAnsi="Segoe UI" w:cs="Segoe UI"/>
          <w:b/>
          <w:i/>
          <w:iCs/>
          <w:color w:val="292B2C"/>
        </w:rPr>
        <w:t> Ademais, a </w:t>
      </w:r>
      <w:r w:rsidRPr="00D20913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repactuação</w:t>
      </w:r>
      <w:r w:rsidRPr="00D20913">
        <w:rPr>
          <w:rFonts w:ascii="Segoe UI" w:hAnsi="Segoe UI" w:cs="Segoe UI"/>
          <w:b/>
          <w:i/>
          <w:iCs/>
          <w:color w:val="292B2C"/>
        </w:rPr>
        <w:t> é somente aplicável a serviços de natureza contínua (Acórdãos 1.488/2016 e 1.574/2015, ambos do plenário do TCU) e não se coaduna ao caso concreto.</w:t>
      </w:r>
    </w:p>
    <w:p w:rsidR="009C6BAC" w:rsidRDefault="009C6BAC" w:rsidP="009C6BAC">
      <w:pPr>
        <w:pStyle w:val="listparagraph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i/>
          <w:iCs/>
          <w:color w:val="292B2C"/>
        </w:rPr>
        <w:t>Com relação aos argumentos que apontam o aquecimento de mercado como um acontecimento extraordinário</w:t>
      </w:r>
      <w:proofErr w:type="gramStart"/>
      <w:r>
        <w:rPr>
          <w:rFonts w:ascii="Segoe UI" w:hAnsi="Segoe UI" w:cs="Segoe UI"/>
          <w:i/>
          <w:iCs/>
          <w:color w:val="292B2C"/>
        </w:rPr>
        <w:t>, é</w:t>
      </w:r>
      <w:proofErr w:type="gramEnd"/>
      <w:r>
        <w:rPr>
          <w:rFonts w:ascii="Segoe UI" w:hAnsi="Segoe UI" w:cs="Segoe UI"/>
          <w:i/>
          <w:iCs/>
          <w:color w:val="292B2C"/>
        </w:rPr>
        <w:t xml:space="preserve"> importante frisar que ambos os contratos auditados da </w:t>
      </w:r>
      <w:proofErr w:type="spellStart"/>
      <w:r>
        <w:rPr>
          <w:rFonts w:ascii="Segoe UI" w:hAnsi="Segoe UI" w:cs="Segoe UI"/>
          <w:i/>
          <w:iCs/>
          <w:color w:val="292B2C"/>
        </w:rPr>
        <w:t>Rnest</w:t>
      </w:r>
      <w:proofErr w:type="spellEnd"/>
      <w:r>
        <w:rPr>
          <w:rFonts w:ascii="Segoe UI" w:hAnsi="Segoe UI" w:cs="Segoe UI"/>
          <w:i/>
          <w:iCs/>
          <w:color w:val="292B2C"/>
        </w:rPr>
        <w:t xml:space="preserve"> possuem cláusulas para reajuste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contratual,</w:t>
      </w:r>
      <w:r>
        <w:rPr>
          <w:rFonts w:ascii="Segoe UI" w:hAnsi="Segoe UI" w:cs="Segoe UI"/>
          <w:i/>
          <w:iCs/>
          <w:color w:val="292B2C"/>
        </w:rPr>
        <w:t xml:space="preserve"> inclusive com índice de variação de custos mão de obra – ICC-Recife-Mão de Obra (p.7 de ambos os contratos, peças 79 e 80) – na proporção relativa a este insumo. E, no caso dos índices oficiais utilizados como referência, como o </w:t>
      </w:r>
      <w:proofErr w:type="spellStart"/>
      <w:r>
        <w:rPr>
          <w:rFonts w:ascii="Segoe UI" w:hAnsi="Segoe UI" w:cs="Segoe UI"/>
          <w:i/>
          <w:iCs/>
          <w:color w:val="292B2C"/>
        </w:rPr>
        <w:t>Sinapi</w:t>
      </w:r>
      <w:proofErr w:type="spellEnd"/>
      <w:r>
        <w:rPr>
          <w:rFonts w:ascii="Segoe UI" w:hAnsi="Segoe UI" w:cs="Segoe UI"/>
          <w:i/>
          <w:iCs/>
          <w:color w:val="292B2C"/>
        </w:rPr>
        <w:t xml:space="preserve"> e o </w:t>
      </w:r>
      <w:proofErr w:type="spellStart"/>
      <w:r>
        <w:rPr>
          <w:rFonts w:ascii="Segoe UI" w:hAnsi="Segoe UI" w:cs="Segoe UI"/>
          <w:i/>
          <w:iCs/>
          <w:color w:val="292B2C"/>
        </w:rPr>
        <w:t>Sicro</w:t>
      </w:r>
      <w:proofErr w:type="spellEnd"/>
      <w:r>
        <w:rPr>
          <w:rFonts w:ascii="Segoe UI" w:hAnsi="Segoe UI" w:cs="Segoe UI"/>
          <w:i/>
          <w:iCs/>
          <w:color w:val="292B2C"/>
        </w:rPr>
        <w:t>, suas premissas levam em conta os aumentos registrados em convenções coletivas.</w:t>
      </w:r>
    </w:p>
    <w:p w:rsidR="009C6BAC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 xml:space="preserve">O principal argumento de defesa apresentado pelo Consórcio </w:t>
      </w:r>
      <w:proofErr w:type="spellStart"/>
      <w:r>
        <w:rPr>
          <w:rFonts w:ascii="Segoe UI" w:hAnsi="Segoe UI" w:cs="Segoe UI"/>
          <w:color w:val="292B2C"/>
        </w:rPr>
        <w:t>Rnest</w:t>
      </w:r>
      <w:proofErr w:type="spellEnd"/>
      <w:r>
        <w:rPr>
          <w:rFonts w:ascii="Segoe UI" w:hAnsi="Segoe UI" w:cs="Segoe UI"/>
          <w:color w:val="292B2C"/>
        </w:rPr>
        <w:t xml:space="preserve"> – </w:t>
      </w:r>
      <w:proofErr w:type="spellStart"/>
      <w:r>
        <w:rPr>
          <w:rFonts w:ascii="Segoe UI" w:hAnsi="Segoe UI" w:cs="Segoe UI"/>
          <w:color w:val="292B2C"/>
        </w:rPr>
        <w:t>Conest</w:t>
      </w:r>
      <w:proofErr w:type="spellEnd"/>
      <w:r>
        <w:rPr>
          <w:rFonts w:ascii="Segoe UI" w:hAnsi="Segoe UI" w:cs="Segoe UI"/>
          <w:color w:val="292B2C"/>
        </w:rPr>
        <w:t xml:space="preserve">, reiterado pelo memorial inserto à peça 289, refere-se ao custo da mão de obra a ser utilizado como referência pelo TCU, fator que representa a parcela da obra em que se concentra a maior parte do </w:t>
      </w:r>
      <w:proofErr w:type="spellStart"/>
      <w:r>
        <w:rPr>
          <w:rFonts w:ascii="Segoe UI" w:hAnsi="Segoe UI" w:cs="Segoe UI"/>
          <w:color w:val="292B2C"/>
        </w:rPr>
        <w:t>sobrepreço</w:t>
      </w:r>
      <w:proofErr w:type="spellEnd"/>
      <w:r>
        <w:rPr>
          <w:rFonts w:ascii="Segoe UI" w:hAnsi="Segoe UI" w:cs="Segoe UI"/>
          <w:color w:val="292B2C"/>
        </w:rPr>
        <w:t xml:space="preserve"> quantificado. Em suma, o Consórcio carreou as seguintes alegações:</w:t>
      </w:r>
    </w:p>
    <w:p w:rsidR="009C6BAC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proofErr w:type="gramStart"/>
      <w:r>
        <w:rPr>
          <w:rFonts w:ascii="Segoe UI" w:hAnsi="Segoe UI" w:cs="Segoe UI"/>
          <w:color w:val="292B2C"/>
        </w:rPr>
        <w:t>a</w:t>
      </w:r>
      <w:proofErr w:type="gramEnd"/>
      <w:r>
        <w:rPr>
          <w:rFonts w:ascii="Segoe UI" w:hAnsi="Segoe UI" w:cs="Segoe UI"/>
          <w:color w:val="292B2C"/>
        </w:rPr>
        <w:t xml:space="preserve"> convenção coletiva de trabalho de 2010, nova referência utilizada em favor dos responsáveis pela </w:t>
      </w:r>
      <w:proofErr w:type="spellStart"/>
      <w:r>
        <w:rPr>
          <w:rFonts w:ascii="Segoe UI" w:hAnsi="Segoe UI" w:cs="Segoe UI"/>
          <w:color w:val="292B2C"/>
        </w:rPr>
        <w:t>SeinfraOpe</w:t>
      </w:r>
      <w:proofErr w:type="spellEnd"/>
      <w:r>
        <w:rPr>
          <w:rFonts w:ascii="Segoe UI" w:hAnsi="Segoe UI" w:cs="Segoe UI"/>
          <w:color w:val="292B2C"/>
        </w:rPr>
        <w:t>, não refletiria a realidade salarial das obras fiscalizadas;</w:t>
      </w:r>
    </w:p>
    <w:p w:rsidR="009C6BAC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proofErr w:type="gramStart"/>
      <w:r>
        <w:rPr>
          <w:rFonts w:ascii="Segoe UI" w:hAnsi="Segoe UI" w:cs="Segoe UI"/>
          <w:color w:val="292B2C"/>
        </w:rPr>
        <w:t>os</w:t>
      </w:r>
      <w:proofErr w:type="gramEnd"/>
      <w:r>
        <w:rPr>
          <w:rFonts w:ascii="Segoe UI" w:hAnsi="Segoe UI" w:cs="Segoe UI"/>
          <w:color w:val="292B2C"/>
        </w:rPr>
        <w:t xml:space="preserve"> valores salariais propostos pelo consórcio deveriam considerar a realidade das obras durante sua execução, e não apenas o momento em que elaboraram as propostas, uma vez que o STJ e o próprio Tribunal de Contas da União entendem ser indevida a recomposição da equação econômico-financeira por força de majoração salarial decorrente de convenções coletivas ou dissídios coletivos;</w:t>
      </w:r>
    </w:p>
    <w:p w:rsidR="009C6BAC" w:rsidRPr="00D20913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b/>
          <w:color w:val="292B2C"/>
        </w:rPr>
      </w:pPr>
      <w:r w:rsidRPr="00D20913">
        <w:rPr>
          <w:rFonts w:ascii="Segoe UI" w:hAnsi="Segoe UI" w:cs="Segoe UI"/>
          <w:b/>
          <w:color w:val="292B2C"/>
        </w:rPr>
        <w:lastRenderedPageBreak/>
        <w:t>A respeito da alegação de que os valores salariais propostos pelo consórcio deveriam considerar a realidade das obras durante sua execução, e não apenas o momento em que elaboraram as propostas, uma vez que o STJ e o próprio Tribunal de Contas da União entendem ser indevida a recomposição da equação econômico-financeira por força de majoração salarial decorrente de convenções coletivas ou dissídios coletivos, há uma nítida confusão conceitual em tal alegação.</w:t>
      </w:r>
    </w:p>
    <w:p w:rsidR="009C6BAC" w:rsidRPr="00D20913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b/>
          <w:color w:val="292B2C"/>
        </w:rPr>
      </w:pPr>
      <w:r w:rsidRPr="00D20913">
        <w:rPr>
          <w:rFonts w:ascii="Segoe UI" w:hAnsi="Segoe UI" w:cs="Segoe UI"/>
          <w:b/>
          <w:color w:val="292B2C"/>
        </w:rPr>
        <w:t xml:space="preserve">Com efeito, o Tribunal de Contas da União possui jurisprudência, a exemplo do Acórdão 2.255/2005-Plenário, proferido em face de Consulta formulada pela Câmara dos Deputados, no qual foi deliberado que a viabilidade de os incrementos dos custos de mão de obra ocasionados pela data-base de cada categoria profissional </w:t>
      </w:r>
      <w:proofErr w:type="gramStart"/>
      <w:r w:rsidRPr="00D20913">
        <w:rPr>
          <w:rFonts w:ascii="Segoe UI" w:hAnsi="Segoe UI" w:cs="Segoe UI"/>
          <w:b/>
          <w:color w:val="292B2C"/>
        </w:rPr>
        <w:t>constituírem</w:t>
      </w:r>
      <w:proofErr w:type="gramEnd"/>
      <w:r w:rsidRPr="00D20913">
        <w:rPr>
          <w:rFonts w:ascii="Segoe UI" w:hAnsi="Segoe UI" w:cs="Segoe UI"/>
          <w:b/>
          <w:color w:val="292B2C"/>
        </w:rPr>
        <w:t xml:space="preserve"> fundamento para a alegação de desequilíbrio econômico-financeiro contraria o disposto no art. 65, inciso II, alínea “d”, da Lei 8.666/93, que estabelece as hipóteses de reequilíbrio econômico-financeiro dos contratos. </w:t>
      </w:r>
      <w:proofErr w:type="gramStart"/>
      <w:r w:rsidRPr="00D20913">
        <w:rPr>
          <w:rFonts w:ascii="Segoe UI" w:hAnsi="Segoe UI" w:cs="Segoe UI"/>
          <w:b/>
          <w:color w:val="292B2C"/>
        </w:rPr>
        <w:t>Outrossim</w:t>
      </w:r>
      <w:proofErr w:type="gramEnd"/>
      <w:r w:rsidRPr="00D20913">
        <w:rPr>
          <w:rFonts w:ascii="Segoe UI" w:hAnsi="Segoe UI" w:cs="Segoe UI"/>
          <w:b/>
          <w:color w:val="292B2C"/>
        </w:rPr>
        <w:t>, cabe ainda colacionar vários julgados do Superior Tribunal de Justiça com entendimento análogo sobre a matéria:</w:t>
      </w:r>
    </w:p>
    <w:p w:rsidR="009C6BAC" w:rsidRPr="00D20913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292B2C"/>
          <w:sz w:val="16"/>
          <w:szCs w:val="16"/>
        </w:rPr>
      </w:pP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“STJ - RECURSO ESPECIAL </w:t>
      </w:r>
      <w:proofErr w:type="spellStart"/>
      <w:proofErr w:type="gram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REsp</w:t>
      </w:r>
      <w:proofErr w:type="spellEnd"/>
      <w:proofErr w:type="gram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 134797 DF 1997/0038761-5 (STJ) , data de publicação: 01/08/2000:</w:t>
      </w:r>
    </w:p>
    <w:p w:rsidR="009C6BAC" w:rsidRPr="00D20913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292B2C"/>
          <w:sz w:val="16"/>
          <w:szCs w:val="16"/>
        </w:rPr>
      </w:pP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Ementa: REVISÃO DE CONTRATO ADMINISTRATIVO. </w:t>
      </w:r>
      <w:r w:rsidRPr="00D20913">
        <w:rPr>
          <w:rStyle w:val="nfase"/>
          <w:rFonts w:ascii="Arial" w:hAnsi="Arial" w:cs="Arial"/>
          <w:i w:val="0"/>
          <w:iCs w:val="0"/>
          <w:color w:val="292B2C"/>
          <w:sz w:val="16"/>
          <w:szCs w:val="16"/>
          <w:shd w:val="clear" w:color="auto" w:fill="FFD519"/>
        </w:rPr>
        <w:t>DISSÍDIO</w:t>
      </w: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 COLETIVO. AUMENTO DE SALÁRIO. REEQUILÍBRIO ECONÔMICO-FINANCEIRO. O aumento do piso salarial da categoria não se constitui fato imprevisível capaz de autorizar a revisão do contrato. </w:t>
      </w:r>
      <w:proofErr w:type="gram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Recurso não conhecido”</w:t>
      </w:r>
      <w:proofErr w:type="gram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.</w:t>
      </w:r>
    </w:p>
    <w:p w:rsidR="009C6BAC" w:rsidRPr="00D20913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292B2C"/>
          <w:sz w:val="16"/>
          <w:szCs w:val="16"/>
        </w:rPr>
      </w:pP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“STJ - AGRAVO REGIMENTAL NO RECURSO ESPECIAL </w:t>
      </w:r>
      <w:proofErr w:type="spellStart"/>
      <w:proofErr w:type="gram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AgRg</w:t>
      </w:r>
      <w:proofErr w:type="spellEnd"/>
      <w:proofErr w:type="gram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 no </w:t>
      </w:r>
      <w:proofErr w:type="spell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REsp</w:t>
      </w:r>
      <w:proofErr w:type="spell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 957999 PE 2007/0119517-0 (STJ) , data de publicação: 05/08/2010</w:t>
      </w:r>
    </w:p>
    <w:p w:rsidR="009C6BAC" w:rsidRPr="00D20913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292B2C"/>
          <w:sz w:val="16"/>
          <w:szCs w:val="16"/>
        </w:rPr>
      </w:pP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Ementa: ADMINISTRATIVO. AGRAVO REGIMENTAL. CONTRATO ADMINISTRATIVO. </w:t>
      </w:r>
      <w:r w:rsidRPr="00D20913">
        <w:rPr>
          <w:rStyle w:val="nfase"/>
          <w:rFonts w:ascii="Arial" w:hAnsi="Arial" w:cs="Arial"/>
          <w:i w:val="0"/>
          <w:iCs w:val="0"/>
          <w:color w:val="292B2C"/>
          <w:sz w:val="16"/>
          <w:szCs w:val="16"/>
          <w:shd w:val="clear" w:color="auto" w:fill="FFD519"/>
        </w:rPr>
        <w:t>DISSÍDIO</w:t>
      </w: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 COLETIVO QUE PROVOCA AUMENTO SALARIAL. REVISÃO </w:t>
      </w:r>
      <w:proofErr w:type="gramStart"/>
      <w:r w:rsidRPr="00D20913">
        <w:rPr>
          <w:rStyle w:val="nfase"/>
          <w:rFonts w:ascii="Arial" w:hAnsi="Arial" w:cs="Arial"/>
          <w:i w:val="0"/>
          <w:iCs w:val="0"/>
          <w:color w:val="292B2C"/>
          <w:sz w:val="16"/>
          <w:szCs w:val="16"/>
          <w:shd w:val="clear" w:color="auto" w:fill="FFD519"/>
        </w:rPr>
        <w:t>CONTRATUAL.</w:t>
      </w:r>
      <w:proofErr w:type="gram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EQUILÍBRIO ECONÔMICO-FINANCEIRO. FATO PREVISÍVEL. </w:t>
      </w:r>
      <w:proofErr w:type="gram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NÃO-INCIDÊNCIA</w:t>
      </w:r>
      <w:proofErr w:type="gram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 DO ART. 65, INC. II, ALÍNEA D, DA LEI N. 8.666 /93. ÁLEA ECONÔMICA QUE NÃO SE DESCARACTERIZA PELA RETROATIVIDADE. 1. É pacífico o entendimento desta Corte Superior no sentido de que eventual aumento de salário proveniente de </w:t>
      </w:r>
      <w:proofErr w:type="spellStart"/>
      <w:r w:rsidRPr="00D20913">
        <w:rPr>
          <w:rStyle w:val="nfase"/>
          <w:rFonts w:ascii="Arial" w:hAnsi="Arial" w:cs="Arial"/>
          <w:i w:val="0"/>
          <w:iCs w:val="0"/>
          <w:color w:val="292B2C"/>
          <w:sz w:val="16"/>
          <w:szCs w:val="16"/>
          <w:shd w:val="clear" w:color="auto" w:fill="FFD519"/>
        </w:rPr>
        <w:t>dissídio</w:t>
      </w: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coletivo</w:t>
      </w:r>
      <w:proofErr w:type="spell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 não autoriza a revisão o contrato administrativo para fins de reequilíbrio econômico-financeiro, uma vez que não se trata de fato imprevisível - o que afasta, portanto, a incidência do art. 65, inc. II, d, da Lei n. 8.666/93. Precedentes. 2. A retroatividade do </w:t>
      </w:r>
      <w:r w:rsidRPr="00D20913">
        <w:rPr>
          <w:rStyle w:val="nfase"/>
          <w:rFonts w:ascii="Arial" w:hAnsi="Arial" w:cs="Arial"/>
          <w:i w:val="0"/>
          <w:iCs w:val="0"/>
          <w:color w:val="292B2C"/>
          <w:sz w:val="16"/>
          <w:szCs w:val="16"/>
          <w:shd w:val="clear" w:color="auto" w:fill="FFD519"/>
        </w:rPr>
        <w:t>dissídio</w:t>
      </w: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 coletivo em relação aos contratos administrativos não o descaracteriza como pura e simples álea econômica. 3. </w:t>
      </w:r>
      <w:proofErr w:type="gram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Agravo regimental não provido”</w:t>
      </w:r>
      <w:proofErr w:type="gram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.</w:t>
      </w:r>
    </w:p>
    <w:p w:rsidR="009C6BAC" w:rsidRPr="00D20913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292B2C"/>
          <w:sz w:val="16"/>
          <w:szCs w:val="16"/>
        </w:rPr>
      </w:pPr>
      <w:proofErr w:type="gram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“ADMINISTRATIVO.</w:t>
      </w:r>
      <w:proofErr w:type="gram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 CONTRATO ADMINISTRATIVO. EQUILÍBRIO ECONÔMICO-FINANCEIRO. AUMENTO SALARIAL. </w:t>
      </w:r>
      <w:r w:rsidRPr="00D20913">
        <w:rPr>
          <w:rStyle w:val="nfase"/>
          <w:rFonts w:ascii="Arial" w:hAnsi="Arial" w:cs="Arial"/>
          <w:i w:val="0"/>
          <w:iCs w:val="0"/>
          <w:color w:val="292B2C"/>
          <w:sz w:val="16"/>
          <w:szCs w:val="16"/>
          <w:shd w:val="clear" w:color="auto" w:fill="FFD519"/>
        </w:rPr>
        <w:t>DISSÍDIO</w:t>
      </w: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 COLETIVO. IMPOSSIBILIDADE DE APLICAÇÃO DA TEORIA DA IMPREVISÃO.</w:t>
      </w:r>
    </w:p>
    <w:p w:rsidR="009C6BAC" w:rsidRPr="00D20913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292B2C"/>
          <w:sz w:val="16"/>
          <w:szCs w:val="16"/>
        </w:rPr>
      </w:pP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1. Não pode ser aplicada a teoria da imprevisão para a recomposição do equilíbrio econômico-financeiro do contrato administrativo (Lei 8.666/93, art. 65, II, d) na hipótese de aumento salarial dos empregados da contratada em virtude de </w:t>
      </w:r>
      <w:r w:rsidRPr="00D20913">
        <w:rPr>
          <w:rStyle w:val="nfase"/>
          <w:rFonts w:ascii="Arial" w:hAnsi="Arial" w:cs="Arial"/>
          <w:i w:val="0"/>
          <w:iCs w:val="0"/>
          <w:color w:val="292B2C"/>
          <w:sz w:val="16"/>
          <w:szCs w:val="16"/>
          <w:shd w:val="clear" w:color="auto" w:fill="FFD519"/>
        </w:rPr>
        <w:t>dissídio</w:t>
      </w: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 coletivo, pois constitui evento certo que deveria ser levado em conta quando da efetivação da proposta. Precedentes: RESP 411101/PR, 2ª T., Min. Eliana Calmon, DJ de 08.09.2003 e RESP 134797/DF, 2ª T., Min. Paulo </w:t>
      </w:r>
      <w:proofErr w:type="spell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Gallotti</w:t>
      </w:r>
      <w:proofErr w:type="spell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, DJ de </w:t>
      </w:r>
      <w:proofErr w:type="gram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1º.</w:t>
      </w:r>
      <w:proofErr w:type="gram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08.2000.</w:t>
      </w:r>
    </w:p>
    <w:p w:rsidR="009C6BAC" w:rsidRPr="00D20913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292B2C"/>
          <w:sz w:val="16"/>
          <w:szCs w:val="16"/>
        </w:rPr>
      </w:pPr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2. Recurso especial provido. (STJ, </w:t>
      </w:r>
      <w:proofErr w:type="spellStart"/>
      <w:proofErr w:type="gram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REsp</w:t>
      </w:r>
      <w:proofErr w:type="spellEnd"/>
      <w:proofErr w:type="gram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 n° 668.367/PR, 1ª T., rel. Min. </w:t>
      </w:r>
      <w:proofErr w:type="spell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Teori</w:t>
      </w:r>
      <w:proofErr w:type="spell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 </w:t>
      </w:r>
      <w:proofErr w:type="spellStart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>Albani</w:t>
      </w:r>
      <w:proofErr w:type="spellEnd"/>
      <w:r w:rsidRPr="00D20913">
        <w:rPr>
          <w:rFonts w:ascii="Arial" w:hAnsi="Arial" w:cs="Arial"/>
          <w:i/>
          <w:iCs/>
          <w:color w:val="292B2C"/>
          <w:sz w:val="16"/>
          <w:szCs w:val="16"/>
        </w:rPr>
        <w:t xml:space="preserve"> Zavascki. Julgado em: 21.09.2006, DJ de 05.10.2006) ”.</w:t>
      </w:r>
    </w:p>
    <w:p w:rsidR="009C6BAC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>Ocorre que os institutos aplicáveis à variação dos salários decorrente do incremento dos custos de mão de obra por força de dissídios e convenções coletivas das categorias profissionais são o reajuste ou a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</w:t>
      </w:r>
      <w:r>
        <w:rPr>
          <w:rFonts w:ascii="Segoe UI" w:hAnsi="Segoe UI" w:cs="Segoe UI"/>
          <w:color w:val="292B2C"/>
        </w:rPr>
        <w:t> (no caso de serviços terceirizados</w:t>
      </w:r>
      <w:proofErr w:type="gramStart"/>
      <w:r>
        <w:rPr>
          <w:rFonts w:ascii="Segoe UI" w:hAnsi="Segoe UI" w:cs="Segoe UI"/>
          <w:color w:val="292B2C"/>
        </w:rPr>
        <w:t>) ,</w:t>
      </w:r>
      <w:proofErr w:type="gramEnd"/>
      <w:r>
        <w:rPr>
          <w:rFonts w:ascii="Segoe UI" w:hAnsi="Segoe UI" w:cs="Segoe UI"/>
          <w:color w:val="292B2C"/>
        </w:rPr>
        <w:t xml:space="preserve"> previstos no art. 40, inciso XI, da Lei 8.666/1993. Em consequência, são aplicáveis a esse incremento de custos as regras que fixam o prazo anual para realização de cada novo reajustamento.</w:t>
      </w:r>
    </w:p>
    <w:p w:rsidR="009C6BAC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lastRenderedPageBreak/>
        <w:t xml:space="preserve">É importante frisar que ambos os contratos auditados da </w:t>
      </w:r>
      <w:proofErr w:type="spellStart"/>
      <w:r>
        <w:rPr>
          <w:rFonts w:ascii="Segoe UI" w:hAnsi="Segoe UI" w:cs="Segoe UI"/>
          <w:color w:val="292B2C"/>
        </w:rPr>
        <w:t>Rnest</w:t>
      </w:r>
      <w:proofErr w:type="spellEnd"/>
      <w:r>
        <w:rPr>
          <w:rFonts w:ascii="Segoe UI" w:hAnsi="Segoe UI" w:cs="Segoe UI"/>
          <w:color w:val="292B2C"/>
        </w:rPr>
        <w:t xml:space="preserve"> possuem cláusulas para reajuste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contratual,</w:t>
      </w:r>
      <w:r>
        <w:rPr>
          <w:rFonts w:ascii="Segoe UI" w:hAnsi="Segoe UI" w:cs="Segoe UI"/>
          <w:color w:val="292B2C"/>
        </w:rPr>
        <w:t> inclusive com índice de variação de custos mão de obra – ICC-Recife-Mão de Obra (fl.7 de ambos os contratos, peças 79 e 80</w:t>
      </w:r>
      <w:proofErr w:type="gramStart"/>
      <w:r>
        <w:rPr>
          <w:rFonts w:ascii="Segoe UI" w:hAnsi="Segoe UI" w:cs="Segoe UI"/>
          <w:color w:val="292B2C"/>
        </w:rPr>
        <w:t>) .</w:t>
      </w:r>
      <w:proofErr w:type="gramEnd"/>
      <w:r>
        <w:rPr>
          <w:rFonts w:ascii="Segoe UI" w:hAnsi="Segoe UI" w:cs="Segoe UI"/>
          <w:color w:val="292B2C"/>
        </w:rPr>
        <w:t xml:space="preserve"> Tais cláusulas atribuíram ao referido índice um fator de ponderação que conferiu à mão de obra uma representatividade total de 80% nos fatores de reajuste dos contratos.</w:t>
      </w:r>
    </w:p>
    <w:p w:rsidR="009C6BAC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>Diante dessa cláusula, não haveria necessidade de a licitante considerar ou embutir em sua proposta nenhuma expectativa de variação dos custos da mão de obra além do índice de correção avençado. A previsão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contratual</w:t>
      </w:r>
      <w:r>
        <w:rPr>
          <w:rFonts w:ascii="Segoe UI" w:hAnsi="Segoe UI" w:cs="Segoe UI"/>
          <w:color w:val="292B2C"/>
        </w:rPr>
        <w:t> de reajuste paramétrico, ponderando a mão de obra com um fator de representatividade superior a 80%, também demonstra que a convenção coletiva em vigor na data de apresentação das propostas seria a melhor referência de mercado.</w:t>
      </w:r>
    </w:p>
    <w:p w:rsidR="009C6BAC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 xml:space="preserve">Por conseguinte, no caso dos salários obtidos em sistemas oficiais utilizados como referência, como o </w:t>
      </w:r>
      <w:proofErr w:type="spellStart"/>
      <w:r>
        <w:rPr>
          <w:rFonts w:ascii="Segoe UI" w:hAnsi="Segoe UI" w:cs="Segoe UI"/>
          <w:color w:val="292B2C"/>
        </w:rPr>
        <w:t>Sinapi</w:t>
      </w:r>
      <w:proofErr w:type="spellEnd"/>
      <w:r>
        <w:rPr>
          <w:rFonts w:ascii="Segoe UI" w:hAnsi="Segoe UI" w:cs="Segoe UI"/>
          <w:color w:val="292B2C"/>
        </w:rPr>
        <w:t xml:space="preserve"> e o </w:t>
      </w:r>
      <w:proofErr w:type="spellStart"/>
      <w:r>
        <w:rPr>
          <w:rFonts w:ascii="Segoe UI" w:hAnsi="Segoe UI" w:cs="Segoe UI"/>
          <w:color w:val="292B2C"/>
        </w:rPr>
        <w:t>Sicro</w:t>
      </w:r>
      <w:proofErr w:type="spellEnd"/>
      <w:r>
        <w:rPr>
          <w:rFonts w:ascii="Segoe UI" w:hAnsi="Segoe UI" w:cs="Segoe UI"/>
          <w:color w:val="292B2C"/>
        </w:rPr>
        <w:t>, suas premissas levam em conta também os aumentos registrados em convenções coletivas.</w:t>
      </w:r>
    </w:p>
    <w:p w:rsidR="009C6BAC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>Não nego o fato de que possa ter ocorrido um aquecimento extraordinário do mercado no período das referidas obras. Porém, não se sustenta o argumento de que esse evento, por si só, seja motivo suficiente para o desequilíbrio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contratual</w:t>
      </w:r>
      <w:r>
        <w:rPr>
          <w:rFonts w:ascii="Segoe UI" w:hAnsi="Segoe UI" w:cs="Segoe UI"/>
          <w:color w:val="292B2C"/>
        </w:rPr>
        <w:t> ou para a incorporação de algum tipo de margem no DFP do consórcio construtor.</w:t>
      </w:r>
    </w:p>
    <w:p w:rsidR="009C6BAC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 xml:space="preserve">A unidade técnica verificou que o ICC-Recife Mão de Obra acompanhou, de modo geral, os aumentos salariais das convenções coletivas da </w:t>
      </w:r>
      <w:proofErr w:type="spellStart"/>
      <w:r>
        <w:rPr>
          <w:rFonts w:ascii="Segoe UI" w:hAnsi="Segoe UI" w:cs="Segoe UI"/>
          <w:color w:val="292B2C"/>
        </w:rPr>
        <w:t>Rnest</w:t>
      </w:r>
      <w:proofErr w:type="spellEnd"/>
      <w:r>
        <w:rPr>
          <w:rFonts w:ascii="Segoe UI" w:hAnsi="Segoe UI" w:cs="Segoe UI"/>
          <w:color w:val="292B2C"/>
        </w:rPr>
        <w:t xml:space="preserve"> durante o período do cronograma proposto para a obra. O aludido índice também acompanhou a base do </w:t>
      </w:r>
      <w:proofErr w:type="spellStart"/>
      <w:r>
        <w:rPr>
          <w:rFonts w:ascii="Segoe UI" w:hAnsi="Segoe UI" w:cs="Segoe UI"/>
          <w:color w:val="292B2C"/>
        </w:rPr>
        <w:t>Caged</w:t>
      </w:r>
      <w:proofErr w:type="spellEnd"/>
      <w:r>
        <w:rPr>
          <w:rFonts w:ascii="Segoe UI" w:hAnsi="Segoe UI" w:cs="Segoe UI"/>
          <w:color w:val="292B2C"/>
        </w:rPr>
        <w:t>, utilizada como referência no exame de mérito da unidade técnica, segundo metodologia detalhada no relatório que fundamenta esta deliberação.</w:t>
      </w:r>
    </w:p>
    <w:p w:rsidR="009C6BAC" w:rsidRDefault="009C6BAC" w:rsidP="009C6BAC">
      <w:pPr>
        <w:pStyle w:val="tcu-epgrafe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>Insta salientar que o TCU já identificou outro indício de superfaturamento – relativo ao reajuste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contratual</w:t>
      </w:r>
      <w:r>
        <w:rPr>
          <w:rFonts w:ascii="Segoe UI" w:hAnsi="Segoe UI" w:cs="Segoe UI"/>
          <w:color w:val="292B2C"/>
        </w:rPr>
        <w:t xml:space="preserve"> da mão de obra – que também redundou em prejuízo ao erário para as obras da UDA e da UHDT. Com efeito, no bojo dos Acórdãos 2.496/2014 e 1.745/2016, </w:t>
      </w:r>
      <w:proofErr w:type="gramStart"/>
      <w:r>
        <w:rPr>
          <w:rFonts w:ascii="Segoe UI" w:hAnsi="Segoe UI" w:cs="Segoe UI"/>
          <w:color w:val="292B2C"/>
        </w:rPr>
        <w:t>ambos do Plenário, verificou-se</w:t>
      </w:r>
      <w:proofErr w:type="gramEnd"/>
      <w:r>
        <w:rPr>
          <w:rFonts w:ascii="Segoe UI" w:hAnsi="Segoe UI" w:cs="Segoe UI"/>
          <w:color w:val="292B2C"/>
        </w:rPr>
        <w:t xml:space="preserve"> que a fórmula de reajuste trazia o emprego de fatores de ponderação desarrazoados para a mão de obra, majorando-os além da real representatividade dessa classe de insumo prevista no DFP. Na prática, tal distorção implicou </w:t>
      </w:r>
      <w:proofErr w:type="spellStart"/>
      <w:r>
        <w:rPr>
          <w:rFonts w:ascii="Segoe UI" w:hAnsi="Segoe UI" w:cs="Segoe UI"/>
          <w:color w:val="292B2C"/>
        </w:rPr>
        <w:t>sobrepreços</w:t>
      </w:r>
      <w:proofErr w:type="spellEnd"/>
      <w:r>
        <w:rPr>
          <w:rFonts w:ascii="Segoe UI" w:hAnsi="Segoe UI" w:cs="Segoe UI"/>
          <w:color w:val="292B2C"/>
        </w:rPr>
        <w:t xml:space="preserve"> que não se confundem com os que ora se aponta e ensejou a necessidade de revisões contratuais imediatas.</w:t>
      </w:r>
    </w:p>
    <w:p w:rsidR="0048217A" w:rsidRDefault="0048217A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</w:p>
    <w:p w:rsidR="0048217A" w:rsidRDefault="0048217A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</w:p>
    <w:p w:rsidR="0048217A" w:rsidRDefault="0048217A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</w:p>
    <w:p w:rsidR="0048217A" w:rsidRDefault="0048217A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Times New Roman"/>
          <w:color w:val="00008B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fldChar w:fldCharType="begin"/>
      </w: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instrText xml:space="preserve"> HYPERLINK "https://contas.tcu.gov.br/sagas/SvlVisualizarRelVotoAcRtf?codFiltro=SAGAS-SESSAO-ENCERRADA&amp;seOcultaPagina=S&amp;item0=565358" \t "_blank" </w:instrText>
      </w: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fldChar w:fldCharType="separate"/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00008B"/>
          <w:sz w:val="24"/>
          <w:szCs w:val="24"/>
          <w:lang w:eastAsia="pt-BR"/>
        </w:rPr>
        <w:lastRenderedPageBreak/>
        <w:t>ACÓRDÃO 1939/2016 - PLENÁRIO</w:t>
      </w:r>
    </w:p>
    <w:p w:rsidR="009C6BAC" w:rsidRPr="009C6BAC" w:rsidRDefault="009C6BAC" w:rsidP="0048217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fldChar w:fldCharType="end"/>
      </w:r>
      <w:r w:rsidRPr="009C6BAC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Relator</w:t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RAIMUNDO CARREIRO</w:t>
      </w:r>
    </w:p>
    <w:p w:rsidR="009C6BAC" w:rsidRPr="009C6BAC" w:rsidRDefault="009C6BAC" w:rsidP="009C6BAC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9C6BAC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Processo</w:t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hyperlink r:id="rId7" w:tgtFrame="_blank" w:history="1">
        <w:r w:rsidRPr="009C6BAC">
          <w:rPr>
            <w:rFonts w:ascii="Segoe UI" w:eastAsia="Times New Roman" w:hAnsi="Segoe UI" w:cs="Segoe UI"/>
            <w:color w:val="00008B"/>
            <w:sz w:val="24"/>
            <w:szCs w:val="24"/>
            <w:lang w:eastAsia="pt-BR"/>
          </w:rPr>
          <w:t>035.903/2011-2</w:t>
        </w:r>
      </w:hyperlink>
    </w:p>
    <w:p w:rsidR="009C6BAC" w:rsidRPr="009C6BAC" w:rsidRDefault="009C6BAC" w:rsidP="009C6BAC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9C6BAC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Tipo de processo</w:t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RELATÓRIO DE AUDITORIA (RA)</w:t>
      </w:r>
    </w:p>
    <w:p w:rsidR="009C6BAC" w:rsidRPr="009C6BAC" w:rsidRDefault="009C6BAC" w:rsidP="009C6BAC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9C6BAC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Data da sessão</w:t>
      </w:r>
    </w:p>
    <w:p w:rsidR="009C6BAC" w:rsidRP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27/07/2016</w:t>
      </w:r>
    </w:p>
    <w:p w:rsidR="009C6BAC" w:rsidRPr="009C6BAC" w:rsidRDefault="009C6BAC" w:rsidP="009C6BAC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9C6BAC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Número da ata</w:t>
      </w:r>
    </w:p>
    <w:p w:rsidR="009C6BAC" w:rsidRDefault="009C6BAC" w:rsidP="009C6B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hyperlink r:id="rId8" w:tgtFrame="_blank" w:history="1">
        <w:r w:rsidRPr="009C6BAC">
          <w:rPr>
            <w:rFonts w:ascii="Segoe UI" w:eastAsia="Times New Roman" w:hAnsi="Segoe UI" w:cs="Segoe UI"/>
            <w:color w:val="00008B"/>
            <w:sz w:val="24"/>
            <w:szCs w:val="24"/>
            <w:lang w:eastAsia="pt-BR"/>
          </w:rPr>
          <w:t>29/2016</w:t>
        </w:r>
      </w:hyperlink>
    </w:p>
    <w:p w:rsidR="0048217A" w:rsidRPr="0048217A" w:rsidRDefault="0048217A" w:rsidP="009C6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16"/>
          <w:szCs w:val="16"/>
          <w:lang w:eastAsia="pt-BR"/>
        </w:rPr>
      </w:pP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Fragmento do acórdão</w:t>
      </w:r>
    </w:p>
    <w:p w:rsidR="009C6BAC" w:rsidRPr="0048217A" w:rsidRDefault="009C6BAC" w:rsidP="009C6B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2B2C"/>
          <w:sz w:val="16"/>
          <w:szCs w:val="16"/>
          <w:lang w:eastAsia="pt-BR"/>
        </w:rPr>
      </w:pP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...do art. 2º da Lei 12.232/2010; 9.4.2 na </w:t>
      </w:r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repactuação</w:t>
      </w: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 dos contratos de serviços de natureza continuada, a não observância ao interregno mínimo de um ano da data limite para apresentação das propostas ou da data do acordo, convenção ou </w:t>
      </w:r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dissídio</w:t>
      </w: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 xml:space="preserve"> coletivo de trabalho, vigente à época da apresentação </w:t>
      </w:r>
      <w:proofErr w:type="gramStart"/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da.</w:t>
      </w:r>
      <w:proofErr w:type="gramEnd"/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..</w:t>
      </w:r>
    </w:p>
    <w:p w:rsidR="009C6BAC" w:rsidRPr="0048217A" w:rsidRDefault="009C6BAC" w:rsidP="009C6B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2B2C"/>
          <w:sz w:val="16"/>
          <w:szCs w:val="16"/>
          <w:lang w:eastAsia="pt-BR"/>
        </w:rPr>
      </w:pP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...contínuo, foram explanados os motivos da inexequibilidade</w:t>
      </w:r>
      <w:proofErr w:type="gramStart"/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 xml:space="preserve"> a saber</w:t>
      </w:r>
      <w:proofErr w:type="gramEnd"/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: não foi previsto adequadamente pelas licitantes vencedoras o </w:t>
      </w:r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dissídio</w:t>
      </w: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 coletivo de janeiro de 2012 da categoria, que será de no mínimo de 10%; o real valor da limpeza das fachadas dos prédios; e o lucro mínimo, por exemplo, a título de...</w:t>
      </w:r>
    </w:p>
    <w:p w:rsidR="00D20913" w:rsidRPr="00D20913" w:rsidRDefault="00D20913" w:rsidP="00D20913">
      <w:pPr>
        <w:shd w:val="clear" w:color="auto" w:fill="FFFFFF"/>
        <w:spacing w:after="0" w:line="240" w:lineRule="auto"/>
        <w:rPr>
          <w:rFonts w:ascii="Segoe UI" w:eastAsia="Times New Roman" w:hAnsi="Segoe UI" w:cs="Times New Roman"/>
          <w:color w:val="00008B"/>
          <w:sz w:val="24"/>
          <w:szCs w:val="24"/>
          <w:lang w:eastAsia="pt-BR"/>
        </w:rPr>
      </w:pPr>
      <w:r w:rsidRPr="00D20913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fldChar w:fldCharType="begin"/>
      </w:r>
      <w:r w:rsidRPr="00D20913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instrText xml:space="preserve"> HYPERLINK "https://contas.tcu.gov.br/sagas/SvlVisualizarRelVotoAcRtf?codFiltro=SAGAS-SESSAO-ENCERRADA&amp;seOcultaPagina=S&amp;item0=603135" \t "_blank" </w:instrText>
      </w:r>
      <w:r w:rsidRPr="00D20913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fldChar w:fldCharType="separate"/>
      </w:r>
    </w:p>
    <w:p w:rsidR="00D20913" w:rsidRPr="00D20913" w:rsidRDefault="00D20913" w:rsidP="00D20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913">
        <w:rPr>
          <w:rFonts w:ascii="Segoe UI" w:eastAsia="Times New Roman" w:hAnsi="Segoe UI" w:cs="Segoe UI"/>
          <w:color w:val="00008B"/>
          <w:sz w:val="24"/>
          <w:szCs w:val="24"/>
          <w:lang w:eastAsia="pt-BR"/>
        </w:rPr>
        <w:t>ACÓRDÃO 8691/2017 - SEGUNDA CÂMARA</w:t>
      </w:r>
    </w:p>
    <w:p w:rsidR="00D20913" w:rsidRPr="00D20913" w:rsidRDefault="00D20913" w:rsidP="0048217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D20913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fldChar w:fldCharType="end"/>
      </w:r>
      <w:r w:rsidRPr="00D20913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Relator</w:t>
      </w:r>
    </w:p>
    <w:p w:rsidR="00D20913" w:rsidRPr="00D20913" w:rsidRDefault="00D20913" w:rsidP="00D209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D20913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AROLDO CEDRAZ</w:t>
      </w:r>
    </w:p>
    <w:p w:rsidR="00D20913" w:rsidRPr="00D20913" w:rsidRDefault="00D20913" w:rsidP="00D20913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D20913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Processo</w:t>
      </w:r>
    </w:p>
    <w:p w:rsidR="00D20913" w:rsidRPr="00D20913" w:rsidRDefault="00D20913" w:rsidP="00D209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hyperlink r:id="rId9" w:tgtFrame="_blank" w:history="1">
        <w:r w:rsidRPr="00D20913">
          <w:rPr>
            <w:rFonts w:ascii="Segoe UI" w:eastAsia="Times New Roman" w:hAnsi="Segoe UI" w:cs="Segoe UI"/>
            <w:color w:val="00008B"/>
            <w:sz w:val="24"/>
            <w:szCs w:val="24"/>
            <w:lang w:eastAsia="pt-BR"/>
          </w:rPr>
          <w:t>002.479/2014-1</w:t>
        </w:r>
      </w:hyperlink>
    </w:p>
    <w:p w:rsidR="00D20913" w:rsidRPr="00D20913" w:rsidRDefault="00D20913" w:rsidP="00D20913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D20913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Tipo de processo</w:t>
      </w:r>
    </w:p>
    <w:p w:rsidR="00D20913" w:rsidRPr="00D20913" w:rsidRDefault="00D20913" w:rsidP="00D209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D20913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TOMADA DE CONTAS ESPECIAL (TCE)</w:t>
      </w:r>
    </w:p>
    <w:p w:rsidR="00D20913" w:rsidRPr="00D20913" w:rsidRDefault="00D20913" w:rsidP="00D20913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color w:val="2A4070"/>
          <w:sz w:val="27"/>
          <w:szCs w:val="27"/>
          <w:lang w:eastAsia="pt-BR"/>
        </w:rPr>
      </w:pPr>
      <w:r w:rsidRPr="00D20913">
        <w:rPr>
          <w:rFonts w:ascii="inherit" w:eastAsia="Times New Roman" w:hAnsi="inherit" w:cs="Segoe UI"/>
          <w:color w:val="2A4070"/>
          <w:sz w:val="27"/>
          <w:szCs w:val="27"/>
          <w:lang w:eastAsia="pt-BR"/>
        </w:rPr>
        <w:t>Data da sessão</w:t>
      </w:r>
    </w:p>
    <w:p w:rsidR="00D20913" w:rsidRPr="00D20913" w:rsidRDefault="00D20913" w:rsidP="00D209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D20913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26/09/2017</w:t>
      </w:r>
    </w:p>
    <w:p w:rsidR="009C6BAC" w:rsidRDefault="009C6BAC" w:rsidP="009C6BAC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2A4070"/>
          <w:sz w:val="27"/>
          <w:szCs w:val="27"/>
          <w:lang w:eastAsia="pt-BR"/>
        </w:rPr>
      </w:pPr>
      <w:r w:rsidRPr="009C6BAC">
        <w:rPr>
          <w:rFonts w:ascii="Segoe UI" w:eastAsia="Times New Roman" w:hAnsi="Segoe UI" w:cs="Segoe UI"/>
          <w:color w:val="2A4070"/>
          <w:sz w:val="27"/>
          <w:szCs w:val="27"/>
          <w:lang w:eastAsia="pt-BR"/>
        </w:rPr>
        <w:t>Fragmentos do Inteiro Teor</w:t>
      </w:r>
    </w:p>
    <w:p w:rsidR="00D20913" w:rsidRPr="0048217A" w:rsidRDefault="00D20913" w:rsidP="00D209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2B2C"/>
          <w:sz w:val="16"/>
          <w:szCs w:val="16"/>
          <w:lang w:eastAsia="pt-BR"/>
        </w:rPr>
      </w:pP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...(AGU) a elaborar a Orientação Normativa 25/2009: "A alteração dos insumos da planilha de preços decorrente de acordo, convenção ou </w:t>
      </w:r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dissídio</w:t>
      </w: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 coletivo de trabalho somente poderá ser objeto de pedido de </w:t>
      </w:r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repactuação</w:t>
      </w: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 </w:t>
      </w:r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contratual";</w:t>
      </w: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 xml:space="preserve"> 9.2.7.17. </w:t>
      </w:r>
      <w:proofErr w:type="gramStart"/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quanto</w:t>
      </w:r>
      <w:proofErr w:type="gramEnd"/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 xml:space="preserve"> aos requisitos da </w:t>
      </w:r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repactuação,</w:t>
      </w: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 alinham-se os seguintes: 1)...</w:t>
      </w:r>
    </w:p>
    <w:p w:rsidR="00D20913" w:rsidRPr="0048217A" w:rsidRDefault="00D20913" w:rsidP="00D209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2B2C"/>
          <w:sz w:val="16"/>
          <w:szCs w:val="16"/>
          <w:lang w:eastAsia="pt-BR"/>
        </w:rPr>
      </w:pP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...revisão </w:t>
      </w:r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contratual</w:t>
      </w:r>
      <w:proofErr w:type="gramStart"/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,</w:t>
      </w: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 vale</w:t>
      </w:r>
      <w:proofErr w:type="gramEnd"/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 xml:space="preserve"> dizer, da teoria da imprevisão positivada no art. 65, inc. II, alínea "d" da Lei 8.666/1993. Preenche, de igual forma, o tipo legal </w:t>
      </w:r>
      <w:proofErr w:type="spellStart"/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da</w:t>
      </w:r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repactuação</w:t>
      </w:r>
      <w:proofErr w:type="spellEnd"/>
      <w:r w:rsidRPr="0048217A">
        <w:rPr>
          <w:rFonts w:ascii="Arial" w:eastAsia="Times New Roman" w:hAnsi="Arial" w:cs="Arial"/>
          <w:color w:val="292B2C"/>
          <w:sz w:val="16"/>
          <w:szCs w:val="16"/>
          <w:shd w:val="clear" w:color="auto" w:fill="FFD519"/>
          <w:lang w:eastAsia="pt-BR"/>
        </w:rPr>
        <w:t>,</w:t>
      </w:r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 xml:space="preserve"> com a vantagem, para o interessado, de não necessitar percorrer o difícil caminho da comprovação de todos os requisitos </w:t>
      </w:r>
      <w:proofErr w:type="gramStart"/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da.</w:t>
      </w:r>
      <w:proofErr w:type="gramEnd"/>
      <w:r w:rsidRPr="0048217A">
        <w:rPr>
          <w:rFonts w:ascii="Arial" w:eastAsia="Times New Roman" w:hAnsi="Arial" w:cs="Arial"/>
          <w:color w:val="292B2C"/>
          <w:sz w:val="16"/>
          <w:szCs w:val="16"/>
          <w:lang w:eastAsia="pt-BR"/>
        </w:rPr>
        <w:t>..</w:t>
      </w:r>
    </w:p>
    <w:p w:rsidR="009C6BAC" w:rsidRPr="009C6BAC" w:rsidRDefault="009C6BAC" w:rsidP="009C6B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...acordado, apesar da prestadora de serviços não ter comprovado a alocação do número de funcionários previstos no ajuste (achado 3.32); p) deficiências na prestação da garantia </w:t>
      </w:r>
      <w:r w:rsidRPr="009C6BAC">
        <w:rPr>
          <w:rFonts w:ascii="Segoe UI" w:eastAsia="Times New Roman" w:hAnsi="Segoe UI" w:cs="Segoe UI"/>
          <w:color w:val="292B2C"/>
          <w:sz w:val="24"/>
          <w:szCs w:val="24"/>
          <w:shd w:val="clear" w:color="auto" w:fill="FFD519"/>
          <w:lang w:eastAsia="pt-BR"/>
        </w:rPr>
        <w:t>contratual</w:t>
      </w: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 (achado 3.33); q) falhas na </w:t>
      </w:r>
      <w:r w:rsidRPr="009C6BAC">
        <w:rPr>
          <w:rFonts w:ascii="Segoe UI" w:eastAsia="Times New Roman" w:hAnsi="Segoe UI" w:cs="Segoe UI"/>
          <w:color w:val="292B2C"/>
          <w:sz w:val="24"/>
          <w:szCs w:val="24"/>
          <w:shd w:val="clear" w:color="auto" w:fill="FFD519"/>
          <w:lang w:eastAsia="pt-BR"/>
        </w:rPr>
        <w:t>repactuação</w:t>
      </w: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 dos contratos (achado 3.34); r) não desoneração dos contratos em decorrência do...</w:t>
      </w:r>
    </w:p>
    <w:p w:rsidR="009C6BAC" w:rsidRPr="009C6BAC" w:rsidRDefault="009C6BAC" w:rsidP="009C6B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</w:pP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...dos serviços de limpeza e conservação, as licitantes deveriam elaborar suas propostas de formação de custos com base no salário normativo pertinente à categoria, homologado por acordo, convenção ou </w:t>
      </w:r>
      <w:r w:rsidRPr="009C6BAC">
        <w:rPr>
          <w:rFonts w:ascii="Segoe UI" w:eastAsia="Times New Roman" w:hAnsi="Segoe UI" w:cs="Segoe UI"/>
          <w:color w:val="292B2C"/>
          <w:sz w:val="24"/>
          <w:szCs w:val="24"/>
          <w:shd w:val="clear" w:color="auto" w:fill="FFD519"/>
          <w:lang w:eastAsia="pt-BR"/>
        </w:rPr>
        <w:t>dissídio</w:t>
      </w:r>
      <w:r w:rsidRPr="009C6BAC">
        <w:rPr>
          <w:rFonts w:ascii="Segoe UI" w:eastAsia="Times New Roman" w:hAnsi="Segoe UI" w:cs="Segoe UI"/>
          <w:color w:val="292B2C"/>
          <w:sz w:val="24"/>
          <w:szCs w:val="24"/>
          <w:lang w:eastAsia="pt-BR"/>
        </w:rPr>
        <w:t> coletivo (peça 13, p. 58). 222.2. Tal prática constitui-se de intervenção indevida e infringe o...</w:t>
      </w:r>
    </w:p>
    <w:p w:rsidR="00D20913" w:rsidRDefault="00D20913" w:rsidP="00122D84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92B2C"/>
          <w:sz w:val="24"/>
          <w:szCs w:val="24"/>
          <w:lang w:eastAsia="pt-BR"/>
        </w:rPr>
      </w:pPr>
    </w:p>
    <w:p w:rsidR="00D20913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 xml:space="preserve">9.2.7.14. </w:t>
      </w:r>
      <w:proofErr w:type="gramStart"/>
      <w:r>
        <w:rPr>
          <w:rFonts w:ascii="Segoe UI" w:hAnsi="Segoe UI" w:cs="Segoe UI"/>
          <w:color w:val="292B2C"/>
        </w:rPr>
        <w:t>assim</w:t>
      </w:r>
      <w:proofErr w:type="gramEnd"/>
      <w:r>
        <w:rPr>
          <w:rFonts w:ascii="Segoe UI" w:hAnsi="Segoe UI" w:cs="Segoe UI"/>
          <w:color w:val="292B2C"/>
        </w:rPr>
        <w:t>, o Tribunal consolidou o entendimento de que o caso estudado comporta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</w:t>
      </w:r>
      <w:r>
        <w:rPr>
          <w:rFonts w:ascii="Segoe UI" w:hAnsi="Segoe UI" w:cs="Segoe UI"/>
          <w:color w:val="292B2C"/>
        </w:rPr>
        <w:t> e não revisão de preços. De lá para cá, passou então a orientar no sentido de que a Administração Pública deve abster-se de fundamentar repactuações de contratos no art. 65, inc. II, alínea </w:t>
      </w:r>
      <w:r>
        <w:rPr>
          <w:rFonts w:ascii="Segoe UI" w:hAnsi="Segoe UI" w:cs="Segoe UI"/>
          <w:i/>
          <w:iCs/>
          <w:color w:val="292B2C"/>
        </w:rPr>
        <w:t>"d", </w:t>
      </w:r>
      <w:r>
        <w:rPr>
          <w:rFonts w:ascii="Segoe UI" w:hAnsi="Segoe UI" w:cs="Segoe UI"/>
          <w:color w:val="292B2C"/>
        </w:rPr>
        <w:t xml:space="preserve">quando decorrentes de aumentos salariais, devendo fazê-las com base nos </w:t>
      </w:r>
      <w:proofErr w:type="spellStart"/>
      <w:r>
        <w:rPr>
          <w:rFonts w:ascii="Segoe UI" w:hAnsi="Segoe UI" w:cs="Segoe UI"/>
          <w:color w:val="292B2C"/>
        </w:rPr>
        <w:t>arts</w:t>
      </w:r>
      <w:proofErr w:type="spellEnd"/>
      <w:r>
        <w:rPr>
          <w:rFonts w:ascii="Segoe UI" w:hAnsi="Segoe UI" w:cs="Segoe UI"/>
          <w:color w:val="292B2C"/>
        </w:rPr>
        <w:t xml:space="preserve">. </w:t>
      </w:r>
      <w:proofErr w:type="gramStart"/>
      <w:r>
        <w:rPr>
          <w:rFonts w:ascii="Segoe UI" w:hAnsi="Segoe UI" w:cs="Segoe UI"/>
          <w:color w:val="292B2C"/>
        </w:rPr>
        <w:t>40, inc.</w:t>
      </w:r>
      <w:proofErr w:type="gramEnd"/>
      <w:r>
        <w:rPr>
          <w:rFonts w:ascii="Segoe UI" w:hAnsi="Segoe UI" w:cs="Segoe UI"/>
          <w:color w:val="292B2C"/>
        </w:rPr>
        <w:t xml:space="preserve"> XI, e 55, inc. III, da Lei 8.666/1993, que tratam de reajuste de preços com base na variação periódica de custos;</w:t>
      </w:r>
    </w:p>
    <w:p w:rsidR="00D20913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 xml:space="preserve">9.2.7.15. </w:t>
      </w:r>
      <w:proofErr w:type="gramStart"/>
      <w:r>
        <w:rPr>
          <w:rFonts w:ascii="Segoe UI" w:hAnsi="Segoe UI" w:cs="Segoe UI"/>
          <w:color w:val="292B2C"/>
        </w:rPr>
        <w:t>nesse</w:t>
      </w:r>
      <w:proofErr w:type="gramEnd"/>
      <w:r>
        <w:rPr>
          <w:rFonts w:ascii="Segoe UI" w:hAnsi="Segoe UI" w:cs="Segoe UI"/>
          <w:color w:val="292B2C"/>
        </w:rPr>
        <w:t xml:space="preserve"> pronunciamento, aliás, essa Colenda Corte de Contas trilhou o caminho percorrido pelo Superior Tribunal de Justiça, que pacificou sua jurisprudência no sentido de que o aumento de salários em virtude de acordo, convenção ou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dissídio</w:t>
      </w:r>
      <w:r>
        <w:rPr>
          <w:rFonts w:ascii="Segoe UI" w:hAnsi="Segoe UI" w:cs="Segoe UI"/>
          <w:color w:val="292B2C"/>
        </w:rPr>
        <w:t> coletivo não constitui fato imprevisível e, por isso mesmo, não dá ensejo à aplicação da teoria da imprevisão prevista no art. 65, inc. II, alínea </w:t>
      </w:r>
      <w:r>
        <w:rPr>
          <w:rFonts w:ascii="Segoe UI" w:hAnsi="Segoe UI" w:cs="Segoe UI"/>
          <w:i/>
          <w:iCs/>
          <w:color w:val="292B2C"/>
        </w:rPr>
        <w:t>"d", </w:t>
      </w:r>
      <w:r>
        <w:rPr>
          <w:rFonts w:ascii="Segoe UI" w:hAnsi="Segoe UI" w:cs="Segoe UI"/>
          <w:color w:val="292B2C"/>
        </w:rPr>
        <w:t>da Lei de Licitações;</w:t>
      </w:r>
    </w:p>
    <w:p w:rsidR="00D20913" w:rsidRPr="0048217A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b/>
          <w:color w:val="292B2C"/>
        </w:rPr>
      </w:pPr>
      <w:r w:rsidRPr="0048217A">
        <w:rPr>
          <w:rFonts w:ascii="Segoe UI" w:hAnsi="Segoe UI" w:cs="Segoe UI"/>
          <w:b/>
          <w:color w:val="292B2C"/>
        </w:rPr>
        <w:t xml:space="preserve">9.2.7.16. </w:t>
      </w:r>
      <w:proofErr w:type="gramStart"/>
      <w:r w:rsidRPr="0048217A">
        <w:rPr>
          <w:rFonts w:ascii="Segoe UI" w:hAnsi="Segoe UI" w:cs="Segoe UI"/>
          <w:b/>
          <w:color w:val="292B2C"/>
        </w:rPr>
        <w:t>a</w:t>
      </w:r>
      <w:proofErr w:type="gramEnd"/>
      <w:r w:rsidRPr="0048217A">
        <w:rPr>
          <w:rFonts w:ascii="Segoe UI" w:hAnsi="Segoe UI" w:cs="Segoe UI"/>
          <w:b/>
          <w:color w:val="292B2C"/>
        </w:rPr>
        <w:t xml:space="preserve"> jurisprudência, que passou a navegar por águas tranquilas, influenciou a Advocacia-Geral da União (AGU) a elaborar a Orientação Normativa 25/2009: "A alteração dos insumos da planilha de preços decorrente de acordo, convenção ou </w:t>
      </w:r>
      <w:r w:rsidRPr="0048217A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dissídio</w:t>
      </w:r>
      <w:r w:rsidRPr="0048217A">
        <w:rPr>
          <w:rFonts w:ascii="Segoe UI" w:hAnsi="Segoe UI" w:cs="Segoe UI"/>
          <w:b/>
          <w:color w:val="292B2C"/>
        </w:rPr>
        <w:t> coletivo de trabalho somente poderá ser objeto de pedido de </w:t>
      </w:r>
      <w:proofErr w:type="spellStart"/>
      <w:r w:rsidRPr="0048217A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repactuaçãocontratual</w:t>
      </w:r>
      <w:proofErr w:type="spellEnd"/>
      <w:r w:rsidRPr="0048217A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";</w:t>
      </w:r>
    </w:p>
    <w:p w:rsidR="00D20913" w:rsidRPr="0048217A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b/>
          <w:color w:val="292B2C"/>
        </w:rPr>
      </w:pPr>
      <w:r w:rsidRPr="0048217A">
        <w:rPr>
          <w:rFonts w:ascii="Segoe UI" w:hAnsi="Segoe UI" w:cs="Segoe UI"/>
          <w:b/>
          <w:color w:val="292B2C"/>
        </w:rPr>
        <w:t xml:space="preserve">9.2.7.17. </w:t>
      </w:r>
      <w:proofErr w:type="gramStart"/>
      <w:r w:rsidRPr="0048217A">
        <w:rPr>
          <w:rFonts w:ascii="Segoe UI" w:hAnsi="Segoe UI" w:cs="Segoe UI"/>
          <w:b/>
          <w:color w:val="292B2C"/>
        </w:rPr>
        <w:t>quanto</w:t>
      </w:r>
      <w:proofErr w:type="gramEnd"/>
      <w:r w:rsidRPr="0048217A">
        <w:rPr>
          <w:rFonts w:ascii="Segoe UI" w:hAnsi="Segoe UI" w:cs="Segoe UI"/>
          <w:b/>
          <w:color w:val="292B2C"/>
        </w:rPr>
        <w:t xml:space="preserve"> aos requisitos da </w:t>
      </w:r>
      <w:r w:rsidRPr="0048217A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repactuação,</w:t>
      </w:r>
      <w:r w:rsidRPr="0048217A">
        <w:rPr>
          <w:rFonts w:ascii="Segoe UI" w:hAnsi="Segoe UI" w:cs="Segoe UI"/>
          <w:b/>
          <w:color w:val="292B2C"/>
        </w:rPr>
        <w:t> alinham-se os seguintes: 1) requerimento do interessado; 2) periodicidade mínima legal; e 3) demonstração analítica da alteração dos custos;</w:t>
      </w:r>
    </w:p>
    <w:p w:rsidR="00D20913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 xml:space="preserve">9.2.7.18. </w:t>
      </w:r>
      <w:proofErr w:type="gramStart"/>
      <w:r>
        <w:rPr>
          <w:rFonts w:ascii="Segoe UI" w:hAnsi="Segoe UI" w:cs="Segoe UI"/>
          <w:color w:val="292B2C"/>
        </w:rPr>
        <w:t>por</w:t>
      </w:r>
      <w:proofErr w:type="gramEnd"/>
      <w:r>
        <w:rPr>
          <w:rFonts w:ascii="Segoe UI" w:hAnsi="Segoe UI" w:cs="Segoe UI"/>
          <w:color w:val="292B2C"/>
        </w:rPr>
        <w:t xml:space="preserve"> força do disposto no art. 40 da Instrução Normativa MPOG 2/2008, necessário o requerimento do interessado, até por conta da comprovação por documentos que se exige dos demais requisitos, tudo ônus do contratado;</w:t>
      </w:r>
    </w:p>
    <w:p w:rsidR="00D20913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 xml:space="preserve">9.2.7.19. </w:t>
      </w:r>
      <w:proofErr w:type="gramStart"/>
      <w:r>
        <w:rPr>
          <w:rFonts w:ascii="Segoe UI" w:hAnsi="Segoe UI" w:cs="Segoe UI"/>
          <w:color w:val="292B2C"/>
        </w:rPr>
        <w:t>assim</w:t>
      </w:r>
      <w:proofErr w:type="gramEnd"/>
      <w:r>
        <w:rPr>
          <w:rFonts w:ascii="Segoe UI" w:hAnsi="Segoe UI" w:cs="Segoe UI"/>
          <w:color w:val="292B2C"/>
        </w:rPr>
        <w:t xml:space="preserve"> como no reajuste, aplica-se a Lei 10.192/2001 (art. 2°, § 1° e 3°, § 1°) que impõe a periodicidade mínima de um ano para o restabelecimento da equação. A particularidade que aqui se verifica é o termo inicial de tal lapso temporal. Faculta a lei a escolha entre a data limite para apresentação da proposta e a data do orçamento a que essa proposta se referir; se adotada a última hipótese, considera-se como data do orçamento a data do acordo, convenção ou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dissídio</w:t>
      </w:r>
      <w:r>
        <w:rPr>
          <w:rFonts w:ascii="Segoe UI" w:hAnsi="Segoe UI" w:cs="Segoe UI"/>
          <w:color w:val="292B2C"/>
        </w:rPr>
        <w:t xml:space="preserve"> coletivo de trabalho que estipular o salário vigente à época da apresentação da proposta. Esse é o pensamento que prevalece nesse Colendo TCU, desde o já citado Acórdão 1.563/2004-TCU-Plenário, Relator Min. Augusto </w:t>
      </w:r>
      <w:proofErr w:type="spellStart"/>
      <w:r>
        <w:rPr>
          <w:rFonts w:ascii="Segoe UI" w:hAnsi="Segoe UI" w:cs="Segoe UI"/>
          <w:color w:val="292B2C"/>
        </w:rPr>
        <w:t>Sherman</w:t>
      </w:r>
      <w:proofErr w:type="spellEnd"/>
      <w:r>
        <w:rPr>
          <w:rFonts w:ascii="Segoe UI" w:hAnsi="Segoe UI" w:cs="Segoe UI"/>
          <w:color w:val="292B2C"/>
        </w:rPr>
        <w:t xml:space="preserve"> Cavalcanti. Novamente aí, é </w:t>
      </w:r>
      <w:proofErr w:type="gramStart"/>
      <w:r>
        <w:rPr>
          <w:rFonts w:ascii="Segoe UI" w:hAnsi="Segoe UI" w:cs="Segoe UI"/>
          <w:color w:val="292B2C"/>
        </w:rPr>
        <w:t>influenciada a AGU, consoante</w:t>
      </w:r>
      <w:proofErr w:type="gramEnd"/>
      <w:r>
        <w:rPr>
          <w:rFonts w:ascii="Segoe UI" w:hAnsi="Segoe UI" w:cs="Segoe UI"/>
          <w:color w:val="292B2C"/>
        </w:rPr>
        <w:t xml:space="preserve"> o texto da Orientação Normativa 26/2009: "Na contratação de serviço em que a maior parcela do custo for decorrente de mão de obra, o edital e o contrato deverão indicar expressamente que o prazo de um ano, para a primeira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repactuação,</w:t>
      </w:r>
      <w:r>
        <w:rPr>
          <w:rFonts w:ascii="Segoe UI" w:hAnsi="Segoe UI" w:cs="Segoe UI"/>
          <w:color w:val="292B2C"/>
        </w:rPr>
        <w:t xml:space="preserve"> conta-se da data do orçamento a que a proposta se </w:t>
      </w:r>
      <w:r>
        <w:rPr>
          <w:rFonts w:ascii="Segoe UI" w:hAnsi="Segoe UI" w:cs="Segoe UI"/>
          <w:color w:val="292B2C"/>
        </w:rPr>
        <w:lastRenderedPageBreak/>
        <w:t>referir". Uma vez verificada a primeira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repactuação,</w:t>
      </w:r>
      <w:r>
        <w:rPr>
          <w:rFonts w:ascii="Segoe UI" w:hAnsi="Segoe UI" w:cs="Segoe UI"/>
          <w:color w:val="292B2C"/>
        </w:rPr>
        <w:t> dessa conta-se o período de um ano para a próxima. Hodiernamente, o tema é tratado minuciosamente na Instrução Normativa MPOG 2/2008;</w:t>
      </w:r>
    </w:p>
    <w:p w:rsidR="00D20913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 xml:space="preserve">9.2.7.14. </w:t>
      </w:r>
      <w:proofErr w:type="gramStart"/>
      <w:r>
        <w:rPr>
          <w:rFonts w:ascii="Segoe UI" w:hAnsi="Segoe UI" w:cs="Segoe UI"/>
          <w:color w:val="292B2C"/>
        </w:rPr>
        <w:t>assim</w:t>
      </w:r>
      <w:proofErr w:type="gramEnd"/>
      <w:r>
        <w:rPr>
          <w:rFonts w:ascii="Segoe UI" w:hAnsi="Segoe UI" w:cs="Segoe UI"/>
          <w:color w:val="292B2C"/>
        </w:rPr>
        <w:t>, o Tribunal consolidou o entendimento de que o caso estudado comporta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</w:t>
      </w:r>
      <w:r>
        <w:rPr>
          <w:rFonts w:ascii="Segoe UI" w:hAnsi="Segoe UI" w:cs="Segoe UI"/>
          <w:color w:val="292B2C"/>
        </w:rPr>
        <w:t> e não revisão de preços. De lá para cá, passou então a orientar no sentido de que a Administração Pública deve abster-se de fundamentar repactuações de contratos no art. 65, inc. II, alínea </w:t>
      </w:r>
      <w:r>
        <w:rPr>
          <w:rFonts w:ascii="Segoe UI" w:hAnsi="Segoe UI" w:cs="Segoe UI"/>
          <w:i/>
          <w:iCs/>
          <w:color w:val="292B2C"/>
        </w:rPr>
        <w:t>"d", </w:t>
      </w:r>
      <w:r>
        <w:rPr>
          <w:rFonts w:ascii="Segoe UI" w:hAnsi="Segoe UI" w:cs="Segoe UI"/>
          <w:color w:val="292B2C"/>
        </w:rPr>
        <w:t xml:space="preserve">quando decorrentes de aumentos salariais, devendo fazê-las com base nos </w:t>
      </w:r>
      <w:proofErr w:type="spellStart"/>
      <w:r>
        <w:rPr>
          <w:rFonts w:ascii="Segoe UI" w:hAnsi="Segoe UI" w:cs="Segoe UI"/>
          <w:color w:val="292B2C"/>
        </w:rPr>
        <w:t>arts</w:t>
      </w:r>
      <w:proofErr w:type="spellEnd"/>
      <w:r>
        <w:rPr>
          <w:rFonts w:ascii="Segoe UI" w:hAnsi="Segoe UI" w:cs="Segoe UI"/>
          <w:color w:val="292B2C"/>
        </w:rPr>
        <w:t xml:space="preserve">. </w:t>
      </w:r>
      <w:proofErr w:type="gramStart"/>
      <w:r>
        <w:rPr>
          <w:rFonts w:ascii="Segoe UI" w:hAnsi="Segoe UI" w:cs="Segoe UI"/>
          <w:color w:val="292B2C"/>
        </w:rPr>
        <w:t>40, inc.</w:t>
      </w:r>
      <w:proofErr w:type="gramEnd"/>
      <w:r>
        <w:rPr>
          <w:rFonts w:ascii="Segoe UI" w:hAnsi="Segoe UI" w:cs="Segoe UI"/>
          <w:color w:val="292B2C"/>
        </w:rPr>
        <w:t xml:space="preserve"> XI, e 55, inc. III, da Lei 8.666/1993, que tratam de reajuste de preços com base na variação periódica de custos;</w:t>
      </w:r>
    </w:p>
    <w:p w:rsidR="00D20913" w:rsidRPr="00D22257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b/>
          <w:color w:val="292B2C"/>
        </w:rPr>
      </w:pPr>
      <w:r>
        <w:rPr>
          <w:rFonts w:ascii="Segoe UI" w:hAnsi="Segoe UI" w:cs="Segoe UI"/>
          <w:color w:val="292B2C"/>
        </w:rPr>
        <w:t xml:space="preserve">9.2.7.15. </w:t>
      </w:r>
      <w:proofErr w:type="gramStart"/>
      <w:r w:rsidRPr="00D22257">
        <w:rPr>
          <w:rFonts w:ascii="Segoe UI" w:hAnsi="Segoe UI" w:cs="Segoe UI"/>
          <w:b/>
          <w:color w:val="292B2C"/>
        </w:rPr>
        <w:t>nesse</w:t>
      </w:r>
      <w:proofErr w:type="gramEnd"/>
      <w:r w:rsidRPr="00D22257">
        <w:rPr>
          <w:rFonts w:ascii="Segoe UI" w:hAnsi="Segoe UI" w:cs="Segoe UI"/>
          <w:b/>
          <w:color w:val="292B2C"/>
        </w:rPr>
        <w:t xml:space="preserve"> pronunciamento, aliás, essa Colenda Corte de Contas trilhou o caminho percorrido pelo Superior Tribunal de Justiça, que pacificou sua jurisprudência no sentido de que o aumento de salários em virtude de acordo, convenção ou </w:t>
      </w:r>
      <w:r w:rsidRPr="00D22257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dissídio</w:t>
      </w:r>
      <w:r w:rsidRPr="00D22257">
        <w:rPr>
          <w:rFonts w:ascii="Segoe UI" w:hAnsi="Segoe UI" w:cs="Segoe UI"/>
          <w:b/>
          <w:color w:val="292B2C"/>
        </w:rPr>
        <w:t> coletivo não constitui fato imprevisível e, por isso mesmo, não dá ensejo à aplicação da teoria da imprevisão prevista no art. 65, inc. II, alínea </w:t>
      </w:r>
      <w:r w:rsidRPr="00D22257">
        <w:rPr>
          <w:rFonts w:ascii="Segoe UI" w:hAnsi="Segoe UI" w:cs="Segoe UI"/>
          <w:b/>
          <w:i/>
          <w:iCs/>
          <w:color w:val="292B2C"/>
        </w:rPr>
        <w:t>"d", </w:t>
      </w:r>
      <w:r w:rsidRPr="00D22257">
        <w:rPr>
          <w:rFonts w:ascii="Segoe UI" w:hAnsi="Segoe UI" w:cs="Segoe UI"/>
          <w:b/>
          <w:color w:val="292B2C"/>
        </w:rPr>
        <w:t>da Lei de Licitações;</w:t>
      </w:r>
    </w:p>
    <w:p w:rsidR="00D20913" w:rsidRPr="00D22257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b/>
          <w:color w:val="292B2C"/>
        </w:rPr>
      </w:pPr>
      <w:r w:rsidRPr="00D22257">
        <w:rPr>
          <w:rFonts w:ascii="Segoe UI" w:hAnsi="Segoe UI" w:cs="Segoe UI"/>
          <w:b/>
          <w:color w:val="292B2C"/>
        </w:rPr>
        <w:t xml:space="preserve">9.2.7.16. </w:t>
      </w:r>
      <w:proofErr w:type="gramStart"/>
      <w:r w:rsidRPr="00D22257">
        <w:rPr>
          <w:rFonts w:ascii="Segoe UI" w:hAnsi="Segoe UI" w:cs="Segoe UI"/>
          <w:b/>
          <w:color w:val="292B2C"/>
        </w:rPr>
        <w:t>a</w:t>
      </w:r>
      <w:proofErr w:type="gramEnd"/>
      <w:r w:rsidRPr="00D22257">
        <w:rPr>
          <w:rFonts w:ascii="Segoe UI" w:hAnsi="Segoe UI" w:cs="Segoe UI"/>
          <w:b/>
          <w:color w:val="292B2C"/>
        </w:rPr>
        <w:t xml:space="preserve"> jurisprudência, que passou a navegar por águas tranquilas, influenciou a Advocacia-Geral da União (AGU) a elaborar a Orientação Normativa 25/2009: "A alteração dos insumos da planilha de preços decorrente de acordo, convenção ou </w:t>
      </w:r>
      <w:r w:rsidRPr="00D22257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dissídio</w:t>
      </w:r>
      <w:r w:rsidRPr="00D22257">
        <w:rPr>
          <w:rFonts w:ascii="Segoe UI" w:hAnsi="Segoe UI" w:cs="Segoe UI"/>
          <w:b/>
          <w:color w:val="292B2C"/>
        </w:rPr>
        <w:t> coletivo de trabalho somente poderá ser objeto de pedido de </w:t>
      </w:r>
      <w:proofErr w:type="spellStart"/>
      <w:r w:rsidRPr="00D22257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repactuaçãocontratual</w:t>
      </w:r>
      <w:proofErr w:type="spellEnd"/>
      <w:r w:rsidRPr="00D22257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";</w:t>
      </w:r>
    </w:p>
    <w:p w:rsidR="00D20913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 xml:space="preserve">9.2.7.17. </w:t>
      </w:r>
      <w:proofErr w:type="gramStart"/>
      <w:r>
        <w:rPr>
          <w:rFonts w:ascii="Segoe UI" w:hAnsi="Segoe UI" w:cs="Segoe UI"/>
          <w:color w:val="292B2C"/>
        </w:rPr>
        <w:t>quanto</w:t>
      </w:r>
      <w:proofErr w:type="gramEnd"/>
      <w:r>
        <w:rPr>
          <w:rFonts w:ascii="Segoe UI" w:hAnsi="Segoe UI" w:cs="Segoe UI"/>
          <w:color w:val="292B2C"/>
        </w:rPr>
        <w:t xml:space="preserve"> aos requisitos da </w:t>
      </w:r>
      <w:r>
        <w:rPr>
          <w:rStyle w:val="nfase"/>
          <w:rFonts w:ascii="Segoe UI" w:hAnsi="Segoe UI" w:cs="Segoe UI"/>
          <w:i w:val="0"/>
          <w:iCs w:val="0"/>
          <w:color w:val="292B2C"/>
          <w:shd w:val="clear" w:color="auto" w:fill="FFD519"/>
        </w:rPr>
        <w:t>repactuação,</w:t>
      </w:r>
      <w:r>
        <w:rPr>
          <w:rFonts w:ascii="Segoe UI" w:hAnsi="Segoe UI" w:cs="Segoe UI"/>
          <w:color w:val="292B2C"/>
        </w:rPr>
        <w:t> alinham-se os seguintes: 1) requerimento do interessado; 2) periodicidade mínima legal; e 3) demonstração analítica da alteração dos custos;</w:t>
      </w:r>
    </w:p>
    <w:p w:rsidR="00D20913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 xml:space="preserve">9.2.7.18. </w:t>
      </w:r>
      <w:proofErr w:type="gramStart"/>
      <w:r>
        <w:rPr>
          <w:rFonts w:ascii="Segoe UI" w:hAnsi="Segoe UI" w:cs="Segoe UI"/>
          <w:color w:val="292B2C"/>
        </w:rPr>
        <w:t>por</w:t>
      </w:r>
      <w:proofErr w:type="gramEnd"/>
      <w:r>
        <w:rPr>
          <w:rFonts w:ascii="Segoe UI" w:hAnsi="Segoe UI" w:cs="Segoe UI"/>
          <w:color w:val="292B2C"/>
        </w:rPr>
        <w:t xml:space="preserve"> força do disposto no art. 40 da Instrução Normativa MPOG 2/2008, necessário o requerimento do interessado, até por conta da comprovação por documentos que se exige dos demais requisitos, tudo ônus do contratado;</w:t>
      </w:r>
    </w:p>
    <w:p w:rsidR="00D20913" w:rsidRPr="0048217A" w:rsidRDefault="00D20913" w:rsidP="00D20913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b/>
          <w:color w:val="292B2C"/>
        </w:rPr>
      </w:pPr>
      <w:r>
        <w:rPr>
          <w:rFonts w:ascii="Segoe UI" w:hAnsi="Segoe UI" w:cs="Segoe UI"/>
          <w:color w:val="292B2C"/>
        </w:rPr>
        <w:t xml:space="preserve">9.2.7.19. </w:t>
      </w:r>
      <w:proofErr w:type="gramStart"/>
      <w:r>
        <w:rPr>
          <w:rFonts w:ascii="Segoe UI" w:hAnsi="Segoe UI" w:cs="Segoe UI"/>
          <w:color w:val="292B2C"/>
        </w:rPr>
        <w:t>assim</w:t>
      </w:r>
      <w:proofErr w:type="gramEnd"/>
      <w:r>
        <w:rPr>
          <w:rFonts w:ascii="Segoe UI" w:hAnsi="Segoe UI" w:cs="Segoe UI"/>
          <w:color w:val="292B2C"/>
        </w:rPr>
        <w:t xml:space="preserve"> como no reajuste, aplica-se a Lei 10.192/2001 (art. 2°, § 1° e 3°, § 1°) que impõe a periodicidade mínima de um ano para o restabelecimento da equação. A particularidade que aqui se verifica é o termo inicial de tal lapso temporal. Faculta a lei a escolha entre a data limite para apresentação da proposta e a data do orçamento a que essa proposta se referir; se adotada a última hipótese, </w:t>
      </w:r>
      <w:r w:rsidRPr="0048217A">
        <w:rPr>
          <w:rFonts w:ascii="Segoe UI" w:hAnsi="Segoe UI" w:cs="Segoe UI"/>
          <w:b/>
          <w:color w:val="292B2C"/>
        </w:rPr>
        <w:t>considera-se como data do orçamento a data do acordo, convenção ou </w:t>
      </w:r>
      <w:r w:rsidRPr="0048217A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dissídio</w:t>
      </w:r>
      <w:r w:rsidRPr="0048217A">
        <w:rPr>
          <w:rFonts w:ascii="Segoe UI" w:hAnsi="Segoe UI" w:cs="Segoe UI"/>
          <w:b/>
          <w:color w:val="292B2C"/>
        </w:rPr>
        <w:t xml:space="preserve"> coletivo de trabalho que estipular o salário vigente à época da apresentação da proposta. Esse é o pensamento que prevalece nesse Colendo TCU, desde o já citado Acórdão 1.563/2004-TCU-Plenário, Relator Min. Augusto </w:t>
      </w:r>
      <w:proofErr w:type="spellStart"/>
      <w:r w:rsidRPr="0048217A">
        <w:rPr>
          <w:rFonts w:ascii="Segoe UI" w:hAnsi="Segoe UI" w:cs="Segoe UI"/>
          <w:b/>
          <w:color w:val="292B2C"/>
        </w:rPr>
        <w:t>Sherman</w:t>
      </w:r>
      <w:proofErr w:type="spellEnd"/>
      <w:r w:rsidRPr="0048217A">
        <w:rPr>
          <w:rFonts w:ascii="Segoe UI" w:hAnsi="Segoe UI" w:cs="Segoe UI"/>
          <w:b/>
          <w:color w:val="292B2C"/>
        </w:rPr>
        <w:t xml:space="preserve"> Cavalcanti. Novamente aí, é </w:t>
      </w:r>
      <w:proofErr w:type="gramStart"/>
      <w:r w:rsidRPr="0048217A">
        <w:rPr>
          <w:rFonts w:ascii="Segoe UI" w:hAnsi="Segoe UI" w:cs="Segoe UI"/>
          <w:b/>
          <w:color w:val="292B2C"/>
        </w:rPr>
        <w:t>influenciada a AGU, consoante</w:t>
      </w:r>
      <w:proofErr w:type="gramEnd"/>
      <w:r w:rsidRPr="0048217A">
        <w:rPr>
          <w:rFonts w:ascii="Segoe UI" w:hAnsi="Segoe UI" w:cs="Segoe UI"/>
          <w:b/>
          <w:color w:val="292B2C"/>
        </w:rPr>
        <w:t xml:space="preserve"> o texto da Orientação Normativa 26/2009: "Na contratação de serviço em que a maior parcela do custo for decorrente de </w:t>
      </w:r>
      <w:r w:rsidRPr="0048217A">
        <w:rPr>
          <w:rFonts w:ascii="Segoe UI" w:hAnsi="Segoe UI" w:cs="Segoe UI"/>
          <w:b/>
          <w:color w:val="292B2C"/>
        </w:rPr>
        <w:lastRenderedPageBreak/>
        <w:t>mão de obra, o edital e o contrato deverão indicar expressamente que o prazo de um ano, para a primeira </w:t>
      </w:r>
      <w:r w:rsidRPr="0048217A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repactuação,</w:t>
      </w:r>
      <w:r w:rsidRPr="0048217A">
        <w:rPr>
          <w:rFonts w:ascii="Segoe UI" w:hAnsi="Segoe UI" w:cs="Segoe UI"/>
          <w:b/>
          <w:color w:val="292B2C"/>
        </w:rPr>
        <w:t> conta-se da data do orçamento a que a proposta se referir". Uma vez verificada a primeira </w:t>
      </w:r>
      <w:r w:rsidRPr="0048217A">
        <w:rPr>
          <w:rStyle w:val="nfase"/>
          <w:rFonts w:ascii="Segoe UI" w:hAnsi="Segoe UI" w:cs="Segoe UI"/>
          <w:b/>
          <w:i w:val="0"/>
          <w:iCs w:val="0"/>
          <w:color w:val="292B2C"/>
          <w:shd w:val="clear" w:color="auto" w:fill="FFD519"/>
        </w:rPr>
        <w:t>repactuação,</w:t>
      </w:r>
      <w:r w:rsidRPr="0048217A">
        <w:rPr>
          <w:rFonts w:ascii="Segoe UI" w:hAnsi="Segoe UI" w:cs="Segoe UI"/>
          <w:b/>
          <w:color w:val="292B2C"/>
        </w:rPr>
        <w:t> dessa conta-se o período de um ano para a próxima. Hodiernamente, o tema é tratado minuciosamente na Instrução Normativa MPOG 2/2008;</w:t>
      </w:r>
    </w:p>
    <w:p w:rsidR="00D20913" w:rsidRDefault="00D20913" w:rsidP="00122D84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92B2C"/>
          <w:sz w:val="24"/>
          <w:szCs w:val="24"/>
          <w:lang w:eastAsia="pt-BR"/>
        </w:rPr>
      </w:pPr>
    </w:p>
    <w:p w:rsidR="00122D84" w:rsidRDefault="00122D84" w:rsidP="00122D84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color w:val="2A4070"/>
          <w:sz w:val="24"/>
          <w:szCs w:val="24"/>
          <w:u w:val="single"/>
          <w:lang w:eastAsia="pt-BR"/>
        </w:rPr>
      </w:pPr>
      <w:r w:rsidRPr="00122D84">
        <w:rPr>
          <w:rFonts w:ascii="Arial" w:eastAsia="Times New Roman" w:hAnsi="Arial" w:cs="Arial"/>
          <w:b/>
          <w:color w:val="2A4070"/>
          <w:sz w:val="24"/>
          <w:szCs w:val="24"/>
          <w:u w:val="single"/>
          <w:lang w:eastAsia="pt-BR"/>
        </w:rPr>
        <w:t>Boletim de Jurisprudência</w:t>
      </w:r>
    </w:p>
    <w:p w:rsidR="0048217A" w:rsidRDefault="0048217A" w:rsidP="0048217A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Boletim de Jurisprudência 231/2018</w:t>
      </w:r>
    </w:p>
    <w:p w:rsidR="00122D84" w:rsidRPr="00122D84" w:rsidRDefault="00122D84" w:rsidP="00122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begin"/>
      </w: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instrText xml:space="preserve"> HYPERLINK "https://contas.tcu.gov.br/pesquisaJurisprudencia/" \l "/detalhamento/14/REAJUSTE%2520CONTRATUAL/%2520/DTRELEVANCIA%2520desc/false/1/false" \t "_blank" </w:instrText>
      </w: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separate"/>
      </w:r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O estabelecimento do critério de </w:t>
      </w:r>
      <w:r w:rsidRPr="00122D84">
        <w:rPr>
          <w:rFonts w:ascii="Arial" w:eastAsia="Times New Roman" w:hAnsi="Arial" w:cs="Arial"/>
          <w:color w:val="00008B"/>
          <w:sz w:val="24"/>
          <w:szCs w:val="24"/>
          <w:shd w:val="clear" w:color="auto" w:fill="FFD519"/>
          <w:lang w:eastAsia="pt-BR"/>
        </w:rPr>
        <w:t>reajuste</w:t>
      </w:r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 xml:space="preserve"> de preços, tanto no edital quanto no contrato, não constitui discricionariedade conferida ao gestor, mas sim verdadeira imposição, ante o disposto nos </w:t>
      </w:r>
      <w:proofErr w:type="spellStart"/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arts</w:t>
      </w:r>
      <w:proofErr w:type="spellEnd"/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. 40, inciso XI, e 55, inciso III, da Lei 8.666/1993, ainda que a vigência </w:t>
      </w:r>
      <w:r w:rsidRPr="00122D84">
        <w:rPr>
          <w:rFonts w:ascii="Arial" w:eastAsia="Times New Roman" w:hAnsi="Arial" w:cs="Arial"/>
          <w:color w:val="00008B"/>
          <w:sz w:val="24"/>
          <w:szCs w:val="24"/>
          <w:shd w:val="clear" w:color="auto" w:fill="FFD519"/>
          <w:lang w:eastAsia="pt-BR"/>
        </w:rPr>
        <w:t>contratual</w:t>
      </w:r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 prevista não supere doze meses. Entretanto, eventual ausência de cláusula de </w:t>
      </w:r>
      <w:r w:rsidRPr="00122D84">
        <w:rPr>
          <w:rFonts w:ascii="Arial" w:eastAsia="Times New Roman" w:hAnsi="Arial" w:cs="Arial"/>
          <w:color w:val="00008B"/>
          <w:sz w:val="24"/>
          <w:szCs w:val="24"/>
          <w:shd w:val="clear" w:color="auto" w:fill="FFD519"/>
          <w:lang w:eastAsia="pt-BR"/>
        </w:rPr>
        <w:t>reajuste</w:t>
      </w:r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 xml:space="preserve"> de preços não constitui impedimento ao reequilíbrio econômico-financeiro do contrato, </w:t>
      </w:r>
      <w:proofErr w:type="gramStart"/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sob pena</w:t>
      </w:r>
      <w:proofErr w:type="gramEnd"/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 xml:space="preserve"> de ofensa à garantia inserta no art. 37, inciso XXI, da Constituição Federal, bem como de enriquecimento ilícito do erário e consequente violação ao princípio da boa-fé objetiva.</w:t>
      </w:r>
    </w:p>
    <w:p w:rsidR="00122D84" w:rsidRPr="00122D84" w:rsidRDefault="00122D84" w:rsidP="00122D84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92B2C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end"/>
      </w: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t>Contrato Administrativo. Formalização do contrato. Cláusula obrigatória. </w:t>
      </w:r>
      <w:r w:rsidRPr="00122D84">
        <w:rPr>
          <w:rFonts w:ascii="Arial" w:eastAsia="Times New Roman" w:hAnsi="Arial" w:cs="Arial"/>
          <w:color w:val="292B2C"/>
          <w:sz w:val="24"/>
          <w:szCs w:val="24"/>
          <w:shd w:val="clear" w:color="auto" w:fill="FFD519"/>
          <w:lang w:eastAsia="pt-BR"/>
        </w:rPr>
        <w:t>Reajuste.</w:t>
      </w: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t> Prazo. Reequilíbrio econômico-financeiro.</w:t>
      </w:r>
    </w:p>
    <w:p w:rsidR="00122D84" w:rsidRPr="00122D84" w:rsidRDefault="00122D84" w:rsidP="00122D84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122D84" w:rsidRPr="00122D84" w:rsidRDefault="00122D84" w:rsidP="00122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begin"/>
      </w: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instrText xml:space="preserve"> HYPERLINK "https://contas.tcu.gov.br/pesquisaJurisprudencia/" \l "/detalhamento/14/REAJUSTE%2520CONTRATUAL/%2520/DTRELEVANCIA%2520desc/false/2/false" \t "_blank" </w:instrText>
      </w: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separate"/>
      </w:r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Para fins de </w:t>
      </w:r>
      <w:r w:rsidRPr="00122D84">
        <w:rPr>
          <w:rFonts w:ascii="Arial" w:eastAsia="Times New Roman" w:hAnsi="Arial" w:cs="Arial"/>
          <w:color w:val="00008B"/>
          <w:sz w:val="24"/>
          <w:szCs w:val="24"/>
          <w:shd w:val="clear" w:color="auto" w:fill="FFD519"/>
          <w:lang w:eastAsia="pt-BR"/>
        </w:rPr>
        <w:t>reajuste</w:t>
      </w:r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 tarifário de contrato de concessão, é obrigatória a demonstração objetiva do impacto que eventuais alterações legislativas produzam na equação econômico-financeira da relação </w:t>
      </w:r>
      <w:r w:rsidRPr="00122D84">
        <w:rPr>
          <w:rFonts w:ascii="Arial" w:eastAsia="Times New Roman" w:hAnsi="Arial" w:cs="Arial"/>
          <w:color w:val="00008B"/>
          <w:sz w:val="24"/>
          <w:szCs w:val="24"/>
          <w:shd w:val="clear" w:color="auto" w:fill="FFD519"/>
          <w:lang w:eastAsia="pt-BR"/>
        </w:rPr>
        <w:t>contratual.</w:t>
      </w:r>
    </w:p>
    <w:p w:rsidR="0048217A" w:rsidRPr="00122D84" w:rsidRDefault="00122D84" w:rsidP="0048217A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end"/>
      </w:r>
    </w:p>
    <w:p w:rsidR="00122D84" w:rsidRPr="00122D84" w:rsidRDefault="00122D84" w:rsidP="00122D84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Boletim de Jurisprudência 145/2016</w:t>
      </w:r>
    </w:p>
    <w:p w:rsidR="00122D84" w:rsidRPr="0048217A" w:rsidRDefault="00122D84" w:rsidP="00122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217A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begin"/>
      </w:r>
      <w:r w:rsidRPr="0048217A">
        <w:rPr>
          <w:rFonts w:ascii="Arial" w:eastAsia="Times New Roman" w:hAnsi="Arial" w:cs="Arial"/>
          <w:color w:val="292B2C"/>
          <w:sz w:val="24"/>
          <w:szCs w:val="24"/>
          <w:lang w:eastAsia="pt-BR"/>
        </w:rPr>
        <w:instrText xml:space="preserve"> HYPERLINK "https://contas.tcu.gov.br/pesquisaJurisprudencia/" \l "/detalhamento/14/REAJUSTE%2520CONTRATUAL/%2520/DTRELEVANCIA%2520desc/false/4/false" \t "_blank" </w:instrText>
      </w:r>
      <w:r w:rsidRPr="0048217A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separate"/>
      </w:r>
      <w:r w:rsidRPr="0048217A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O estabelecimento dos critérios de </w:t>
      </w:r>
      <w:r w:rsidRPr="0048217A">
        <w:rPr>
          <w:rFonts w:ascii="Arial" w:eastAsia="Times New Roman" w:hAnsi="Arial" w:cs="Arial"/>
          <w:color w:val="00008B"/>
          <w:sz w:val="24"/>
          <w:szCs w:val="24"/>
          <w:shd w:val="clear" w:color="auto" w:fill="FFD519"/>
          <w:lang w:eastAsia="pt-BR"/>
        </w:rPr>
        <w:t>reajuste</w:t>
      </w:r>
      <w:r w:rsidRPr="0048217A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 dos preços, tanto no edital quanto no instrumento </w:t>
      </w:r>
      <w:r w:rsidRPr="0048217A">
        <w:rPr>
          <w:rFonts w:ascii="Arial" w:eastAsia="Times New Roman" w:hAnsi="Arial" w:cs="Arial"/>
          <w:color w:val="00008B"/>
          <w:sz w:val="24"/>
          <w:szCs w:val="24"/>
          <w:shd w:val="clear" w:color="auto" w:fill="FFD519"/>
          <w:lang w:eastAsia="pt-BR"/>
        </w:rPr>
        <w:t>contratual,</w:t>
      </w:r>
      <w:r w:rsidRPr="0048217A">
        <w:rPr>
          <w:rFonts w:ascii="Arial" w:eastAsia="Times New Roman" w:hAnsi="Arial" w:cs="Arial"/>
          <w:color w:val="00008B"/>
          <w:sz w:val="24"/>
          <w:szCs w:val="24"/>
          <w:lang w:eastAsia="pt-BR"/>
        </w:rPr>
        <w:t xml:space="preserve"> não constitui discricionariedade conferida ao gestor, mas sim verdadeira imposição, ante o disposto nos </w:t>
      </w:r>
      <w:proofErr w:type="spellStart"/>
      <w:r w:rsidRPr="0048217A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arts</w:t>
      </w:r>
      <w:proofErr w:type="spellEnd"/>
      <w:r w:rsidRPr="0048217A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. 40, inciso XI, e 55, inciso III, da Lei 8.666/93, ainda que a vigência prevista para o contrato não supere doze meses.</w:t>
      </w:r>
    </w:p>
    <w:p w:rsidR="00122D84" w:rsidRDefault="00122D84" w:rsidP="0048217A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92B2C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end"/>
      </w:r>
    </w:p>
    <w:p w:rsidR="00D22257" w:rsidRDefault="00D22257" w:rsidP="0048217A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92B2C"/>
          <w:sz w:val="24"/>
          <w:szCs w:val="24"/>
          <w:lang w:eastAsia="pt-BR"/>
        </w:rPr>
      </w:pPr>
    </w:p>
    <w:p w:rsidR="00D22257" w:rsidRDefault="00D22257" w:rsidP="0048217A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92B2C"/>
          <w:sz w:val="24"/>
          <w:szCs w:val="24"/>
          <w:lang w:eastAsia="pt-BR"/>
        </w:rPr>
      </w:pPr>
    </w:p>
    <w:p w:rsidR="00D22257" w:rsidRPr="00122D84" w:rsidRDefault="00D22257" w:rsidP="0048217A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2D84" w:rsidRPr="00122D84" w:rsidRDefault="00122D84" w:rsidP="00122D84">
      <w:pPr>
        <w:shd w:val="clear" w:color="auto" w:fill="EEEEEE"/>
        <w:spacing w:after="100" w:afterAutospacing="1" w:line="240" w:lineRule="auto"/>
        <w:outlineLvl w:val="2"/>
        <w:rPr>
          <w:rFonts w:ascii="Arial" w:eastAsia="Times New Roman" w:hAnsi="Arial" w:cs="Arial"/>
          <w:color w:val="2A4070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2A4070"/>
          <w:sz w:val="24"/>
          <w:szCs w:val="24"/>
          <w:lang w:eastAsia="pt-BR"/>
        </w:rPr>
        <w:lastRenderedPageBreak/>
        <w:t>Informativo de Licitações e Contratos</w:t>
      </w:r>
    </w:p>
    <w:p w:rsidR="0048217A" w:rsidRPr="00122D84" w:rsidRDefault="0048217A" w:rsidP="0048217A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Informativo de Licitações e Contratos 22/2010</w:t>
      </w:r>
    </w:p>
    <w:p w:rsidR="00122D84" w:rsidRPr="00122D84" w:rsidRDefault="00122D84" w:rsidP="00122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begin"/>
      </w: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instrText xml:space="preserve"> HYPERLINK "https://contas.tcu.gov.br/pesquisaJurisprudencia/" \l "/detalhamento/16/REAJUSTE%2520E%2520REPACTUA%25C3%2587%25C3%2583O/%2520/DTRELEVANCIA%2520desc/false/1/false" \t "_blank" </w:instrText>
      </w: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separate"/>
      </w:r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 xml:space="preserve">Licitação do tipo técnica e preço para prestação de serviços especializados de advocacia: </w:t>
      </w:r>
      <w:proofErr w:type="gramStart"/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3 - </w:t>
      </w:r>
      <w:r w:rsidRPr="00122D84">
        <w:rPr>
          <w:rFonts w:ascii="Arial" w:eastAsia="Times New Roman" w:hAnsi="Arial" w:cs="Arial"/>
          <w:color w:val="00008B"/>
          <w:sz w:val="24"/>
          <w:szCs w:val="24"/>
          <w:shd w:val="clear" w:color="auto" w:fill="FFD519"/>
          <w:lang w:eastAsia="pt-BR"/>
        </w:rPr>
        <w:t>Repactuação</w:t>
      </w:r>
      <w:proofErr w:type="gramEnd"/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 e não </w:t>
      </w:r>
      <w:r w:rsidRPr="00122D84">
        <w:rPr>
          <w:rFonts w:ascii="Arial" w:eastAsia="Times New Roman" w:hAnsi="Arial" w:cs="Arial"/>
          <w:color w:val="00008B"/>
          <w:sz w:val="24"/>
          <w:szCs w:val="24"/>
          <w:shd w:val="clear" w:color="auto" w:fill="FFD519"/>
          <w:lang w:eastAsia="pt-BR"/>
        </w:rPr>
        <w:t>reajuste</w:t>
      </w:r>
      <w:r w:rsidRPr="00122D84">
        <w:rPr>
          <w:rFonts w:ascii="Arial" w:eastAsia="Times New Roman" w:hAnsi="Arial" w:cs="Arial"/>
          <w:color w:val="00008B"/>
          <w:sz w:val="24"/>
          <w:szCs w:val="24"/>
          <w:lang w:eastAsia="pt-BR"/>
        </w:rPr>
        <w:t> em contratos de prestação de serviços continuados</w:t>
      </w:r>
    </w:p>
    <w:p w:rsidR="00122D84" w:rsidRPr="00122D84" w:rsidRDefault="00122D84" w:rsidP="00122D84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122D84">
        <w:rPr>
          <w:rFonts w:ascii="Arial" w:eastAsia="Times New Roman" w:hAnsi="Arial" w:cs="Arial"/>
          <w:color w:val="292B2C"/>
          <w:sz w:val="24"/>
          <w:szCs w:val="24"/>
          <w:lang w:eastAsia="pt-BR"/>
        </w:rPr>
        <w:fldChar w:fldCharType="end"/>
      </w:r>
    </w:p>
    <w:p w:rsidR="00122D84" w:rsidRPr="00122D84" w:rsidRDefault="00122D84">
      <w:pPr>
        <w:rPr>
          <w:rFonts w:ascii="Arial" w:hAnsi="Arial" w:cs="Arial"/>
          <w:sz w:val="24"/>
          <w:szCs w:val="24"/>
        </w:rPr>
      </w:pPr>
    </w:p>
    <w:sectPr w:rsidR="00122D84" w:rsidRPr="00122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F7E"/>
    <w:multiLevelType w:val="multilevel"/>
    <w:tmpl w:val="5002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3631"/>
    <w:multiLevelType w:val="multilevel"/>
    <w:tmpl w:val="86C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A765B"/>
    <w:multiLevelType w:val="multilevel"/>
    <w:tmpl w:val="9B0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61387"/>
    <w:multiLevelType w:val="multilevel"/>
    <w:tmpl w:val="CD2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F546B"/>
    <w:multiLevelType w:val="multilevel"/>
    <w:tmpl w:val="9E04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95476"/>
    <w:multiLevelType w:val="multilevel"/>
    <w:tmpl w:val="F2C0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86F5F"/>
    <w:multiLevelType w:val="multilevel"/>
    <w:tmpl w:val="AC0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E7F44"/>
    <w:multiLevelType w:val="multilevel"/>
    <w:tmpl w:val="4F4E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84"/>
    <w:rsid w:val="00122D84"/>
    <w:rsid w:val="00342170"/>
    <w:rsid w:val="0048217A"/>
    <w:rsid w:val="009C6BAC"/>
    <w:rsid w:val="00D20913"/>
    <w:rsid w:val="00D22257"/>
    <w:rsid w:val="00E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">
    <w:name w:val="list_paragraph"/>
    <w:basedOn w:val="Normal"/>
    <w:rsid w:val="009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C6BAC"/>
    <w:rPr>
      <w:i/>
      <w:iCs/>
    </w:rPr>
  </w:style>
  <w:style w:type="paragraph" w:customStyle="1" w:styleId="citao1">
    <w:name w:val="citação1"/>
    <w:basedOn w:val="Normal"/>
    <w:rsid w:val="009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spacing">
    <w:name w:val="no_spacing"/>
    <w:basedOn w:val="Normal"/>
    <w:rsid w:val="009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epgrafe">
    <w:name w:val="tcu_-_epígrafe"/>
    <w:basedOn w:val="Normal"/>
    <w:rsid w:val="009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">
    <w:name w:val="list_paragraph"/>
    <w:basedOn w:val="Normal"/>
    <w:rsid w:val="009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C6BAC"/>
    <w:rPr>
      <w:i/>
      <w:iCs/>
    </w:rPr>
  </w:style>
  <w:style w:type="paragraph" w:customStyle="1" w:styleId="citao1">
    <w:name w:val="citação1"/>
    <w:basedOn w:val="Normal"/>
    <w:rsid w:val="009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spacing">
    <w:name w:val="no_spacing"/>
    <w:basedOn w:val="Normal"/>
    <w:rsid w:val="009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epgrafe">
    <w:name w:val="tcu_-_epígrafe"/>
    <w:basedOn w:val="Normal"/>
    <w:rsid w:val="009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7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660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029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5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4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4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399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7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1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8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362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4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5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3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9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92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4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0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0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04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6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12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1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1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8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2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2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6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8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12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0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8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7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0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1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3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30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2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4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3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u.gov.br/Consultas/Juris/Docs/CONSES/TCU_ATA_0_N_2016_2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tas.tcu.gov.br/juris/SvlProcesso?num=03590320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as.tcu.gov.br/juris/SvlProcesso?num=0001682016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tas.tcu.gov.br/juris/SvlProcesso?num=0024792014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3859</Words>
  <Characters>20843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24653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Pinheiro Silva</dc:creator>
  <cp:lastModifiedBy>Carla Pinheiro Silva</cp:lastModifiedBy>
  <cp:revision>1</cp:revision>
  <dcterms:created xsi:type="dcterms:W3CDTF">2019-02-04T12:11:00Z</dcterms:created>
  <dcterms:modified xsi:type="dcterms:W3CDTF">2019-02-04T13:29:00Z</dcterms:modified>
</cp:coreProperties>
</file>