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C9F" w:rsidRDefault="00506C9F" w:rsidP="00B3511E">
      <w:pPr>
        <w:keepNext/>
        <w:spacing w:before="0" w:line="240" w:lineRule="auto"/>
        <w:outlineLvl w:val="0"/>
        <w:rPr>
          <w:rFonts w:ascii="Times New Roman" w:eastAsia="Times New Roman" w:hAnsi="Times New Roman" w:cs="Times New Roman"/>
          <w:b/>
          <w:bCs/>
          <w:i/>
          <w:iCs/>
          <w:sz w:val="28"/>
          <w:szCs w:val="28"/>
        </w:rPr>
      </w:pPr>
      <w:bookmarkStart w:id="0" w:name="_GoBack"/>
      <w:bookmarkEnd w:id="0"/>
      <w:r>
        <w:rPr>
          <w:rFonts w:ascii="Times New Roman" w:eastAsia="Times New Roman" w:hAnsi="Times New Roman" w:cs="Times New Roman"/>
          <w:b/>
          <w:bCs/>
          <w:i/>
          <w:iCs/>
          <w:sz w:val="28"/>
          <w:szCs w:val="28"/>
        </w:rPr>
        <w:t>eTCM nºs  11496/2019 e 11.171/2019</w:t>
      </w:r>
    </w:p>
    <w:p w:rsidR="00FA736F" w:rsidRPr="00FA736F" w:rsidRDefault="00FA736F" w:rsidP="00FA736F">
      <w:pPr>
        <w:spacing w:line="276" w:lineRule="auto"/>
        <w:jc w:val="both"/>
        <w:rPr>
          <w:rFonts w:ascii="Times New Roman" w:hAnsi="Times New Roman" w:cs="Times New Roman"/>
          <w:sz w:val="28"/>
          <w:szCs w:val="28"/>
        </w:rPr>
      </w:pPr>
      <w:r w:rsidRPr="00FA736F">
        <w:rPr>
          <w:rFonts w:ascii="Times New Roman" w:hAnsi="Times New Roman" w:cs="Times New Roman"/>
          <w:sz w:val="28"/>
          <w:szCs w:val="28"/>
        </w:rPr>
        <w:t>Exmo. Senhor Presidente, Exmos. Senhores Conselheiros, Senhor Secretário Geral, Senhora Subsecretária Geral, Douta Procuradoria</w:t>
      </w:r>
    </w:p>
    <w:p w:rsidR="00FA736F" w:rsidRPr="001825CA" w:rsidRDefault="00FA736F" w:rsidP="001825CA">
      <w:pPr>
        <w:spacing w:before="0" w:line="276" w:lineRule="auto"/>
        <w:ind w:left="142" w:firstLine="1559"/>
        <w:jc w:val="both"/>
        <w:rPr>
          <w:rFonts w:ascii="Times New Roman" w:eastAsia="Times New Roman" w:hAnsi="Times New Roman" w:cs="Times New Roman"/>
          <w:sz w:val="28"/>
        </w:rPr>
      </w:pPr>
    </w:p>
    <w:p w:rsidR="001825CA" w:rsidRDefault="001825CA" w:rsidP="001825CA">
      <w:pPr>
        <w:spacing w:before="0" w:line="276" w:lineRule="auto"/>
        <w:ind w:left="142" w:firstLine="1559"/>
        <w:jc w:val="both"/>
        <w:rPr>
          <w:rFonts w:ascii="Times New Roman" w:eastAsia="Times New Roman" w:hAnsi="Times New Roman" w:cs="Times New Roman"/>
          <w:sz w:val="28"/>
        </w:rPr>
      </w:pPr>
    </w:p>
    <w:p w:rsidR="001825CA" w:rsidRDefault="00FA736F" w:rsidP="00770AA8">
      <w:pPr>
        <w:spacing w:before="0" w:line="276" w:lineRule="auto"/>
        <w:ind w:left="142" w:firstLine="1559"/>
        <w:jc w:val="both"/>
        <w:rPr>
          <w:rFonts w:ascii="Times New Roman" w:eastAsia="Times New Roman" w:hAnsi="Times New Roman" w:cs="Times New Roman"/>
          <w:sz w:val="28"/>
        </w:rPr>
      </w:pPr>
      <w:r w:rsidRPr="001825CA">
        <w:rPr>
          <w:rFonts w:ascii="Times New Roman" w:eastAsia="Times New Roman" w:hAnsi="Times New Roman" w:cs="Times New Roman"/>
          <w:sz w:val="28"/>
        </w:rPr>
        <w:t>Trago ao conhecimento e deliberação de meus pares, por entender matéria de competência do Pleno, despacho com conteúdo de não suspensão das Concorrências nº 004 e 005/19/SIURB, condicionada à necessidade de republicação dos Editais, nos seguintes termos:</w:t>
      </w:r>
    </w:p>
    <w:p w:rsidR="00770AA8" w:rsidRPr="001825CA" w:rsidRDefault="00770AA8" w:rsidP="00770AA8">
      <w:pPr>
        <w:spacing w:before="0" w:line="276" w:lineRule="auto"/>
        <w:ind w:left="142" w:firstLine="1559"/>
        <w:jc w:val="both"/>
        <w:rPr>
          <w:rFonts w:ascii="Times New Roman" w:eastAsia="Times New Roman" w:hAnsi="Times New Roman" w:cs="Times New Roman"/>
          <w:sz w:val="28"/>
        </w:rPr>
      </w:pPr>
    </w:p>
    <w:p w:rsidR="001825CA" w:rsidRDefault="00A73450" w:rsidP="001825CA">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Cuidam os processos em epígrafe</w:t>
      </w:r>
      <w:r w:rsidR="005E72FD">
        <w:rPr>
          <w:rFonts w:ascii="Times New Roman" w:eastAsia="Times New Roman" w:hAnsi="Times New Roman" w:cs="Times New Roman"/>
          <w:sz w:val="28"/>
        </w:rPr>
        <w:t xml:space="preserve"> de</w:t>
      </w:r>
      <w:r w:rsidR="005E72FD" w:rsidRPr="005E72FD">
        <w:rPr>
          <w:rFonts w:ascii="Times New Roman" w:eastAsia="Times New Roman" w:hAnsi="Times New Roman" w:cs="Times New Roman"/>
          <w:sz w:val="28"/>
        </w:rPr>
        <w:t xml:space="preserve"> Acompanhamento de Edital da</w:t>
      </w:r>
      <w:r w:rsidR="009B1AC3">
        <w:rPr>
          <w:rFonts w:ascii="Times New Roman" w:eastAsia="Times New Roman" w:hAnsi="Times New Roman" w:cs="Times New Roman"/>
          <w:sz w:val="28"/>
        </w:rPr>
        <w:t>s</w:t>
      </w:r>
      <w:r w:rsidR="005E72FD" w:rsidRPr="005E72FD">
        <w:rPr>
          <w:rFonts w:ascii="Times New Roman" w:eastAsia="Times New Roman" w:hAnsi="Times New Roman" w:cs="Times New Roman"/>
          <w:sz w:val="28"/>
        </w:rPr>
        <w:t xml:space="preserve"> </w:t>
      </w:r>
      <w:r w:rsidR="005E72FD" w:rsidRPr="001825CA">
        <w:rPr>
          <w:rFonts w:ascii="Times New Roman" w:eastAsia="Times New Roman" w:hAnsi="Times New Roman" w:cs="Times New Roman"/>
          <w:sz w:val="28"/>
        </w:rPr>
        <w:t>Concorrência</w:t>
      </w:r>
      <w:r w:rsidR="009B1AC3" w:rsidRPr="001825CA">
        <w:rPr>
          <w:rFonts w:ascii="Times New Roman" w:eastAsia="Times New Roman" w:hAnsi="Times New Roman" w:cs="Times New Roman"/>
          <w:sz w:val="28"/>
        </w:rPr>
        <w:t>s</w:t>
      </w:r>
      <w:r w:rsidR="005E72FD" w:rsidRPr="001825CA">
        <w:rPr>
          <w:rFonts w:ascii="Times New Roman" w:eastAsia="Times New Roman" w:hAnsi="Times New Roman" w:cs="Times New Roman"/>
          <w:sz w:val="28"/>
        </w:rPr>
        <w:t xml:space="preserve"> nº 004</w:t>
      </w:r>
      <w:r w:rsidR="009B1AC3" w:rsidRPr="001825CA">
        <w:rPr>
          <w:rFonts w:ascii="Times New Roman" w:eastAsia="Times New Roman" w:hAnsi="Times New Roman" w:cs="Times New Roman"/>
          <w:sz w:val="28"/>
        </w:rPr>
        <w:t xml:space="preserve"> e 005</w:t>
      </w:r>
      <w:r w:rsidR="005E72FD" w:rsidRPr="001825CA">
        <w:rPr>
          <w:rFonts w:ascii="Times New Roman" w:eastAsia="Times New Roman" w:hAnsi="Times New Roman" w:cs="Times New Roman"/>
          <w:sz w:val="28"/>
        </w:rPr>
        <w:t>/19/SIURB</w:t>
      </w:r>
      <w:r w:rsidR="005E72FD" w:rsidRPr="005E72FD">
        <w:rPr>
          <w:rFonts w:ascii="Times New Roman" w:eastAsia="Times New Roman" w:hAnsi="Times New Roman" w:cs="Times New Roman"/>
          <w:sz w:val="28"/>
        </w:rPr>
        <w:t>, elaborado</w:t>
      </w:r>
      <w:r w:rsidR="00F1686E">
        <w:rPr>
          <w:rFonts w:ascii="Times New Roman" w:eastAsia="Times New Roman" w:hAnsi="Times New Roman" w:cs="Times New Roman"/>
          <w:sz w:val="28"/>
        </w:rPr>
        <w:t>s</w:t>
      </w:r>
      <w:r w:rsidR="005E72FD" w:rsidRPr="005E72FD">
        <w:rPr>
          <w:rFonts w:ascii="Times New Roman" w:eastAsia="Times New Roman" w:hAnsi="Times New Roman" w:cs="Times New Roman"/>
          <w:sz w:val="28"/>
        </w:rPr>
        <w:t xml:space="preserve"> pela Secretaria Municipal de Infraestrutura Urbana e Obras (SIURB), </w:t>
      </w:r>
      <w:r>
        <w:rPr>
          <w:rFonts w:ascii="Times New Roman" w:eastAsia="Times New Roman" w:hAnsi="Times New Roman" w:cs="Times New Roman"/>
          <w:sz w:val="28"/>
        </w:rPr>
        <w:t>tendo cada qual</w:t>
      </w:r>
      <w:r w:rsidR="005E72FD" w:rsidRPr="005E72FD">
        <w:rPr>
          <w:rFonts w:ascii="Times New Roman" w:eastAsia="Times New Roman" w:hAnsi="Times New Roman" w:cs="Times New Roman"/>
          <w:sz w:val="28"/>
        </w:rPr>
        <w:t xml:space="preserve"> por objeto a contratação dos serviços de elaboração de inspeções especiais, vistorias, ensaios, laudos técnicos, verificação estruturais, projeto executivo de requalificação e concepção</w:t>
      </w:r>
      <w:r w:rsidR="005E72FD">
        <w:rPr>
          <w:rFonts w:ascii="Times New Roman" w:eastAsia="Times New Roman" w:hAnsi="Times New Roman" w:cs="Times New Roman"/>
          <w:sz w:val="28"/>
        </w:rPr>
        <w:t xml:space="preserve"> de recuperação estrutural de 18</w:t>
      </w:r>
      <w:r w:rsidR="005B2BD2">
        <w:rPr>
          <w:rFonts w:ascii="Times New Roman" w:eastAsia="Times New Roman" w:hAnsi="Times New Roman" w:cs="Times New Roman"/>
          <w:sz w:val="28"/>
        </w:rPr>
        <w:t xml:space="preserve"> (dezoito) e 19 (dezenove)</w:t>
      </w:r>
      <w:r w:rsidR="005E72FD" w:rsidRPr="005E72FD">
        <w:rPr>
          <w:rFonts w:ascii="Times New Roman" w:eastAsia="Times New Roman" w:hAnsi="Times New Roman" w:cs="Times New Roman"/>
          <w:sz w:val="28"/>
        </w:rPr>
        <w:t xml:space="preserve"> obras de arte especiais no Município de São Paulo</w:t>
      </w:r>
      <w:r>
        <w:rPr>
          <w:rFonts w:ascii="Times New Roman" w:eastAsia="Times New Roman" w:hAnsi="Times New Roman" w:cs="Times New Roman"/>
          <w:sz w:val="28"/>
        </w:rPr>
        <w:t>, respectivamente</w:t>
      </w:r>
      <w:r w:rsidR="00506C9F">
        <w:rPr>
          <w:rFonts w:ascii="Times New Roman" w:eastAsia="Times New Roman" w:hAnsi="Times New Roman" w:cs="Times New Roman"/>
          <w:sz w:val="28"/>
        </w:rPr>
        <w:t>.</w:t>
      </w:r>
      <w:r w:rsidR="00F1686E">
        <w:rPr>
          <w:rFonts w:ascii="Times New Roman" w:eastAsia="Times New Roman" w:hAnsi="Times New Roman" w:cs="Times New Roman"/>
          <w:sz w:val="28"/>
        </w:rPr>
        <w:t xml:space="preserve"> </w:t>
      </w:r>
      <w:r w:rsidR="00506C9F">
        <w:rPr>
          <w:rFonts w:ascii="Times New Roman" w:eastAsia="Times New Roman" w:hAnsi="Times New Roman" w:cs="Times New Roman"/>
          <w:sz w:val="28"/>
        </w:rPr>
        <w:t>Considerando a semelhança dos Editais em análise, com mesmo objeto</w:t>
      </w:r>
      <w:r w:rsidR="00F1686E">
        <w:rPr>
          <w:rFonts w:ascii="Times New Roman" w:eastAsia="Times New Roman" w:hAnsi="Times New Roman" w:cs="Times New Roman"/>
          <w:sz w:val="28"/>
        </w:rPr>
        <w:t>,</w:t>
      </w:r>
      <w:r w:rsidR="00506C9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mas </w:t>
      </w:r>
      <w:r w:rsidR="00506C9F">
        <w:rPr>
          <w:rFonts w:ascii="Times New Roman" w:eastAsia="Times New Roman" w:hAnsi="Times New Roman" w:cs="Times New Roman"/>
          <w:sz w:val="28"/>
        </w:rPr>
        <w:t xml:space="preserve">para lotes distintos, </w:t>
      </w:r>
      <w:r>
        <w:rPr>
          <w:rFonts w:ascii="Times New Roman" w:eastAsia="Times New Roman" w:hAnsi="Times New Roman" w:cs="Times New Roman"/>
          <w:sz w:val="28"/>
        </w:rPr>
        <w:t>serão os mesmos tratados conjuntamente através do presente despacho.</w:t>
      </w:r>
    </w:p>
    <w:p w:rsidR="001825CA" w:rsidRPr="001825CA" w:rsidRDefault="001825CA" w:rsidP="001825CA">
      <w:pPr>
        <w:spacing w:before="0" w:line="276" w:lineRule="auto"/>
        <w:ind w:left="142" w:firstLine="1559"/>
        <w:jc w:val="both"/>
        <w:rPr>
          <w:rFonts w:ascii="Times New Roman" w:eastAsia="Times New Roman" w:hAnsi="Times New Roman" w:cs="Times New Roman"/>
          <w:sz w:val="28"/>
        </w:rPr>
      </w:pPr>
    </w:p>
    <w:p w:rsidR="001825CA" w:rsidRDefault="00B3511E" w:rsidP="001825CA">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A análise </w:t>
      </w:r>
      <w:r w:rsidR="00547ABA">
        <w:rPr>
          <w:rFonts w:ascii="Times New Roman" w:eastAsia="Times New Roman" w:hAnsi="Times New Roman" w:cs="Times New Roman"/>
          <w:sz w:val="28"/>
        </w:rPr>
        <w:t xml:space="preserve">inicial </w:t>
      </w:r>
      <w:r>
        <w:rPr>
          <w:rFonts w:ascii="Times New Roman" w:eastAsia="Times New Roman" w:hAnsi="Times New Roman" w:cs="Times New Roman"/>
          <w:sz w:val="28"/>
        </w:rPr>
        <w:t>da Auditoria</w:t>
      </w:r>
      <w:r w:rsidR="00F1686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F1686E">
        <w:rPr>
          <w:rFonts w:ascii="Times New Roman" w:eastAsia="Times New Roman" w:hAnsi="Times New Roman" w:cs="Times New Roman"/>
          <w:sz w:val="28"/>
        </w:rPr>
        <w:t xml:space="preserve">em ambos os processos, </w:t>
      </w:r>
      <w:r w:rsidR="00547ABA">
        <w:rPr>
          <w:rFonts w:ascii="Times New Roman" w:eastAsia="Times New Roman" w:hAnsi="Times New Roman" w:cs="Times New Roman"/>
          <w:sz w:val="28"/>
        </w:rPr>
        <w:t>foi conclusiva no sentido de que o</w:t>
      </w:r>
      <w:r w:rsidR="00F1686E">
        <w:rPr>
          <w:rFonts w:ascii="Times New Roman" w:eastAsia="Times New Roman" w:hAnsi="Times New Roman" w:cs="Times New Roman"/>
          <w:sz w:val="28"/>
        </w:rPr>
        <w:t>s</w:t>
      </w:r>
      <w:r w:rsidR="00547ABA">
        <w:rPr>
          <w:rFonts w:ascii="Times New Roman" w:eastAsia="Times New Roman" w:hAnsi="Times New Roman" w:cs="Times New Roman"/>
          <w:sz w:val="28"/>
        </w:rPr>
        <w:t xml:space="preserve"> certame</w:t>
      </w:r>
      <w:r w:rsidR="00F1686E">
        <w:rPr>
          <w:rFonts w:ascii="Times New Roman" w:eastAsia="Times New Roman" w:hAnsi="Times New Roman" w:cs="Times New Roman"/>
          <w:sz w:val="28"/>
        </w:rPr>
        <w:t>s</w:t>
      </w:r>
      <w:r w:rsidR="00547ABA">
        <w:rPr>
          <w:rFonts w:ascii="Times New Roman" w:eastAsia="Times New Roman" w:hAnsi="Times New Roman" w:cs="Times New Roman"/>
          <w:sz w:val="28"/>
        </w:rPr>
        <w:t xml:space="preserve"> não reuni</w:t>
      </w:r>
      <w:r w:rsidR="00F1686E">
        <w:rPr>
          <w:rFonts w:ascii="Times New Roman" w:eastAsia="Times New Roman" w:hAnsi="Times New Roman" w:cs="Times New Roman"/>
          <w:sz w:val="28"/>
        </w:rPr>
        <w:t>am</w:t>
      </w:r>
      <w:r w:rsidR="00547ABA">
        <w:rPr>
          <w:rFonts w:ascii="Times New Roman" w:eastAsia="Times New Roman" w:hAnsi="Times New Roman" w:cs="Times New Roman"/>
          <w:sz w:val="28"/>
        </w:rPr>
        <w:t xml:space="preserve"> condições de prosseguimento, haja vista a presença </w:t>
      </w:r>
      <w:r w:rsidR="000D4026">
        <w:rPr>
          <w:rFonts w:ascii="Times New Roman" w:eastAsia="Times New Roman" w:hAnsi="Times New Roman" w:cs="Times New Roman"/>
          <w:sz w:val="28"/>
        </w:rPr>
        <w:t xml:space="preserve">de </w:t>
      </w:r>
      <w:r w:rsidR="00547ABA">
        <w:rPr>
          <w:rFonts w:ascii="Times New Roman" w:eastAsia="Times New Roman" w:hAnsi="Times New Roman" w:cs="Times New Roman"/>
          <w:sz w:val="28"/>
        </w:rPr>
        <w:t>irregularidades detalhadas em seu</w:t>
      </w:r>
      <w:r w:rsidR="00F1686E">
        <w:rPr>
          <w:rFonts w:ascii="Times New Roman" w:eastAsia="Times New Roman" w:hAnsi="Times New Roman" w:cs="Times New Roman"/>
          <w:sz w:val="28"/>
        </w:rPr>
        <w:t>s</w:t>
      </w:r>
      <w:r w:rsidR="00547ABA">
        <w:rPr>
          <w:rFonts w:ascii="Times New Roman" w:eastAsia="Times New Roman" w:hAnsi="Times New Roman" w:cs="Times New Roman"/>
          <w:sz w:val="28"/>
        </w:rPr>
        <w:t xml:space="preserve"> </w:t>
      </w:r>
      <w:r w:rsidR="00F1686E">
        <w:rPr>
          <w:rFonts w:ascii="Times New Roman" w:eastAsia="Times New Roman" w:hAnsi="Times New Roman" w:cs="Times New Roman"/>
          <w:sz w:val="28"/>
        </w:rPr>
        <w:t>Relatórios Preliminares (peça 31 do TC 11.171/2019 e peça 30 do TC 11.493/2019).</w:t>
      </w:r>
    </w:p>
    <w:p w:rsidR="001825CA" w:rsidRPr="001825CA" w:rsidRDefault="001825CA" w:rsidP="001825CA">
      <w:pPr>
        <w:spacing w:before="0" w:line="276" w:lineRule="auto"/>
        <w:ind w:left="142" w:firstLine="1559"/>
        <w:jc w:val="both"/>
        <w:rPr>
          <w:rFonts w:ascii="Times New Roman" w:eastAsia="Times New Roman" w:hAnsi="Times New Roman" w:cs="Times New Roman"/>
          <w:sz w:val="28"/>
        </w:rPr>
      </w:pPr>
    </w:p>
    <w:p w:rsidR="001825CA" w:rsidRPr="001825CA" w:rsidRDefault="00F1686E" w:rsidP="001825CA">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A</w:t>
      </w:r>
      <w:r w:rsidR="00547ABA">
        <w:rPr>
          <w:rFonts w:ascii="Times New Roman" w:eastAsia="Times New Roman" w:hAnsi="Times New Roman" w:cs="Times New Roman"/>
          <w:sz w:val="28"/>
        </w:rPr>
        <w:t xml:space="preserve"> Assessoria Jurídica de</w:t>
      </w:r>
      <w:r>
        <w:rPr>
          <w:rFonts w:ascii="Times New Roman" w:eastAsia="Times New Roman" w:hAnsi="Times New Roman" w:cs="Times New Roman"/>
          <w:sz w:val="28"/>
        </w:rPr>
        <w:t xml:space="preserve"> Controle Externo, instada a se manifestar no TC 11.171/2019 (peças 34/35), acompanhou integralmente o parecer da Auditoria. Dada a similaridade dos apontamentos de natureza jurídica, esta Relatoria dispensou novo pronunciamento específico </w:t>
      </w:r>
      <w:r w:rsidR="000D4026">
        <w:rPr>
          <w:rFonts w:ascii="Times New Roman" w:eastAsia="Times New Roman" w:hAnsi="Times New Roman" w:cs="Times New Roman"/>
          <w:sz w:val="28"/>
        </w:rPr>
        <w:t>para o</w:t>
      </w:r>
      <w:r>
        <w:rPr>
          <w:rFonts w:ascii="Times New Roman" w:eastAsia="Times New Roman" w:hAnsi="Times New Roman" w:cs="Times New Roman"/>
          <w:sz w:val="28"/>
        </w:rPr>
        <w:t xml:space="preserve"> TC 11.493/2019, </w:t>
      </w:r>
      <w:r w:rsidR="0073420E">
        <w:rPr>
          <w:rFonts w:ascii="Times New Roman" w:eastAsia="Times New Roman" w:hAnsi="Times New Roman" w:cs="Times New Roman"/>
          <w:sz w:val="28"/>
        </w:rPr>
        <w:t>sem prejuízo de</w:t>
      </w:r>
      <w:r>
        <w:rPr>
          <w:rFonts w:ascii="Times New Roman" w:eastAsia="Times New Roman" w:hAnsi="Times New Roman" w:cs="Times New Roman"/>
          <w:sz w:val="28"/>
        </w:rPr>
        <w:t xml:space="preserve"> seu integral aproveitamento </w:t>
      </w:r>
      <w:r w:rsidR="00C61944">
        <w:rPr>
          <w:rFonts w:ascii="Times New Roman" w:eastAsia="Times New Roman" w:hAnsi="Times New Roman" w:cs="Times New Roman"/>
          <w:sz w:val="28"/>
        </w:rPr>
        <w:t>na</w:t>
      </w:r>
      <w:r w:rsidR="0073420E">
        <w:rPr>
          <w:rFonts w:ascii="Times New Roman" w:eastAsia="Times New Roman" w:hAnsi="Times New Roman" w:cs="Times New Roman"/>
          <w:sz w:val="28"/>
        </w:rPr>
        <w:t xml:space="preserve"> análise das questões postas.</w:t>
      </w:r>
    </w:p>
    <w:p w:rsidR="001825CA" w:rsidRDefault="0094615B" w:rsidP="001825CA">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Em cada um dos processos</w:t>
      </w:r>
      <w:r w:rsidR="00547ABA">
        <w:rPr>
          <w:rFonts w:ascii="Times New Roman" w:eastAsia="Times New Roman" w:hAnsi="Times New Roman" w:cs="Times New Roman"/>
          <w:sz w:val="28"/>
        </w:rPr>
        <w:t xml:space="preserve">, a Origem apresentou suas justificativas </w:t>
      </w:r>
      <w:r>
        <w:rPr>
          <w:rFonts w:ascii="Times New Roman" w:eastAsia="Times New Roman" w:hAnsi="Times New Roman" w:cs="Times New Roman"/>
          <w:sz w:val="28"/>
        </w:rPr>
        <w:t xml:space="preserve">iniciais </w:t>
      </w:r>
      <w:r w:rsidR="0094113B">
        <w:rPr>
          <w:rFonts w:ascii="Times New Roman" w:eastAsia="Times New Roman" w:hAnsi="Times New Roman" w:cs="Times New Roman"/>
          <w:sz w:val="28"/>
        </w:rPr>
        <w:t>e, posteriormente,</w:t>
      </w:r>
      <w:r w:rsidR="00547ABA">
        <w:rPr>
          <w:rFonts w:ascii="Times New Roman" w:eastAsia="Times New Roman" w:hAnsi="Times New Roman" w:cs="Times New Roman"/>
          <w:sz w:val="28"/>
        </w:rPr>
        <w:t xml:space="preserve"> promoveu </w:t>
      </w:r>
      <w:r w:rsidR="00547ABA" w:rsidRPr="00547ABA">
        <w:rPr>
          <w:rFonts w:ascii="Times New Roman" w:eastAsia="Times New Roman" w:hAnsi="Times New Roman" w:cs="Times New Roman"/>
          <w:sz w:val="28"/>
        </w:rPr>
        <w:t>a republicação do</w:t>
      </w:r>
      <w:r>
        <w:rPr>
          <w:rFonts w:ascii="Times New Roman" w:eastAsia="Times New Roman" w:hAnsi="Times New Roman" w:cs="Times New Roman"/>
          <w:sz w:val="28"/>
        </w:rPr>
        <w:t>s Editais,</w:t>
      </w:r>
      <w:r w:rsidR="00547ABA" w:rsidRPr="00547ABA">
        <w:rPr>
          <w:rFonts w:ascii="Times New Roman" w:eastAsia="Times New Roman" w:hAnsi="Times New Roman" w:cs="Times New Roman"/>
          <w:sz w:val="28"/>
        </w:rPr>
        <w:t xml:space="preserve"> </w:t>
      </w:r>
      <w:r>
        <w:rPr>
          <w:rFonts w:ascii="Times New Roman" w:eastAsia="Times New Roman" w:hAnsi="Times New Roman" w:cs="Times New Roman"/>
          <w:sz w:val="28"/>
        </w:rPr>
        <w:t>com sessões</w:t>
      </w:r>
      <w:r w:rsidR="0094113B">
        <w:rPr>
          <w:rFonts w:ascii="Times New Roman" w:eastAsia="Times New Roman" w:hAnsi="Times New Roman" w:cs="Times New Roman"/>
          <w:sz w:val="28"/>
        </w:rPr>
        <w:t xml:space="preserve"> de abertura</w:t>
      </w:r>
      <w:r>
        <w:rPr>
          <w:rFonts w:ascii="Times New Roman" w:eastAsia="Times New Roman" w:hAnsi="Times New Roman" w:cs="Times New Roman"/>
          <w:sz w:val="28"/>
        </w:rPr>
        <w:t xml:space="preserve"> ora</w:t>
      </w:r>
      <w:r w:rsidR="0094113B">
        <w:rPr>
          <w:rFonts w:ascii="Times New Roman" w:eastAsia="Times New Roman" w:hAnsi="Times New Roman" w:cs="Times New Roman"/>
          <w:sz w:val="28"/>
        </w:rPr>
        <w:t xml:space="preserve"> designada</w:t>
      </w:r>
      <w:r>
        <w:rPr>
          <w:rFonts w:ascii="Times New Roman" w:eastAsia="Times New Roman" w:hAnsi="Times New Roman" w:cs="Times New Roman"/>
          <w:sz w:val="28"/>
        </w:rPr>
        <w:t>s para 27/02/2020</w:t>
      </w:r>
      <w:r w:rsidR="0094113B">
        <w:rPr>
          <w:rFonts w:ascii="Times New Roman" w:eastAsia="Times New Roman" w:hAnsi="Times New Roman" w:cs="Times New Roman"/>
          <w:sz w:val="28"/>
        </w:rPr>
        <w:t>. Com base nessa nova</w:t>
      </w:r>
      <w:r w:rsidR="00547ABA" w:rsidRPr="00547ABA">
        <w:rPr>
          <w:rFonts w:ascii="Times New Roman" w:eastAsia="Times New Roman" w:hAnsi="Times New Roman" w:cs="Times New Roman"/>
          <w:sz w:val="28"/>
        </w:rPr>
        <w:t xml:space="preserve"> versão do instrumento convocatório, </w:t>
      </w:r>
      <w:r w:rsidR="0094113B">
        <w:rPr>
          <w:rFonts w:ascii="Times New Roman" w:eastAsia="Times New Roman" w:hAnsi="Times New Roman" w:cs="Times New Roman"/>
          <w:sz w:val="28"/>
        </w:rPr>
        <w:t>análises complementares dos órgãos té</w:t>
      </w:r>
      <w:r w:rsidR="00BD69AA">
        <w:rPr>
          <w:rFonts w:ascii="Times New Roman" w:eastAsia="Times New Roman" w:hAnsi="Times New Roman" w:cs="Times New Roman"/>
          <w:sz w:val="28"/>
        </w:rPr>
        <w:t>cnicos foram lançadas aos autos</w:t>
      </w:r>
      <w:r w:rsidR="00E40CE7">
        <w:rPr>
          <w:rFonts w:ascii="Times New Roman" w:eastAsia="Times New Roman" w:hAnsi="Times New Roman" w:cs="Times New Roman"/>
          <w:sz w:val="28"/>
        </w:rPr>
        <w:t xml:space="preserve">. </w:t>
      </w:r>
    </w:p>
    <w:p w:rsidR="001825CA" w:rsidRPr="001825CA" w:rsidRDefault="001825CA" w:rsidP="001825CA">
      <w:pPr>
        <w:spacing w:before="0" w:line="276" w:lineRule="auto"/>
        <w:ind w:left="142" w:firstLine="1559"/>
        <w:jc w:val="both"/>
        <w:rPr>
          <w:rFonts w:ascii="Times New Roman" w:eastAsia="Times New Roman" w:hAnsi="Times New Roman" w:cs="Times New Roman"/>
          <w:sz w:val="28"/>
        </w:rPr>
      </w:pPr>
    </w:p>
    <w:p w:rsidR="001825CA" w:rsidRDefault="00E40CE7" w:rsidP="001825CA">
      <w:pPr>
        <w:spacing w:before="0" w:line="276" w:lineRule="auto"/>
        <w:ind w:left="142" w:firstLine="1559"/>
        <w:jc w:val="both"/>
        <w:rPr>
          <w:rFonts w:ascii="Times New Roman" w:eastAsia="Times New Roman" w:hAnsi="Times New Roman" w:cs="Times New Roman"/>
          <w:b/>
          <w:sz w:val="28"/>
        </w:rPr>
      </w:pPr>
      <w:r>
        <w:rPr>
          <w:rFonts w:ascii="Times New Roman" w:eastAsia="Times New Roman" w:hAnsi="Times New Roman" w:cs="Times New Roman"/>
          <w:sz w:val="28"/>
        </w:rPr>
        <w:t xml:space="preserve">No âmbito do </w:t>
      </w:r>
      <w:r w:rsidRPr="00E40CE7">
        <w:rPr>
          <w:rFonts w:ascii="Times New Roman" w:eastAsia="Times New Roman" w:hAnsi="Times New Roman" w:cs="Times New Roman"/>
          <w:b/>
          <w:sz w:val="28"/>
        </w:rPr>
        <w:t>TC 11.171/201</w:t>
      </w:r>
      <w:r>
        <w:rPr>
          <w:rFonts w:ascii="Times New Roman" w:eastAsia="Times New Roman" w:hAnsi="Times New Roman" w:cs="Times New Roman"/>
          <w:sz w:val="28"/>
        </w:rPr>
        <w:t>9, ratificou-se</w:t>
      </w:r>
      <w:r w:rsidR="00335787">
        <w:rPr>
          <w:rFonts w:ascii="Times New Roman" w:eastAsia="Times New Roman" w:hAnsi="Times New Roman" w:cs="Times New Roman"/>
          <w:sz w:val="28"/>
        </w:rPr>
        <w:t xml:space="preserve"> os apontamentos originais, </w:t>
      </w:r>
      <w:r w:rsidR="00335787" w:rsidRPr="00BD69AA">
        <w:rPr>
          <w:rFonts w:ascii="Times New Roman" w:eastAsia="Times New Roman" w:hAnsi="Times New Roman" w:cs="Times New Roman"/>
          <w:b/>
          <w:sz w:val="28"/>
        </w:rPr>
        <w:t>à exceç</w:t>
      </w:r>
      <w:r w:rsidR="00BD69AA">
        <w:rPr>
          <w:rFonts w:ascii="Times New Roman" w:eastAsia="Times New Roman" w:hAnsi="Times New Roman" w:cs="Times New Roman"/>
          <w:b/>
          <w:sz w:val="28"/>
        </w:rPr>
        <w:t>ão do</w:t>
      </w:r>
      <w:r w:rsidR="00335787" w:rsidRPr="00BD69AA">
        <w:rPr>
          <w:rFonts w:ascii="Times New Roman" w:eastAsia="Times New Roman" w:hAnsi="Times New Roman" w:cs="Times New Roman"/>
          <w:b/>
          <w:sz w:val="28"/>
        </w:rPr>
        <w:t xml:space="preserve"> subite</w:t>
      </w:r>
      <w:r w:rsidR="00BD69AA">
        <w:rPr>
          <w:rFonts w:ascii="Times New Roman" w:eastAsia="Times New Roman" w:hAnsi="Times New Roman" w:cs="Times New Roman"/>
          <w:b/>
          <w:sz w:val="28"/>
        </w:rPr>
        <w:t>m</w:t>
      </w:r>
      <w:r w:rsidR="0094113B" w:rsidRPr="00BD69AA">
        <w:rPr>
          <w:rFonts w:ascii="Times New Roman" w:eastAsia="Times New Roman" w:hAnsi="Times New Roman" w:cs="Times New Roman"/>
          <w:b/>
          <w:sz w:val="28"/>
        </w:rPr>
        <w:t xml:space="preserve"> 5.11</w:t>
      </w:r>
      <w:r w:rsidR="00BD69AA">
        <w:rPr>
          <w:rFonts w:ascii="Times New Roman" w:eastAsia="Times New Roman" w:hAnsi="Times New Roman" w:cs="Times New Roman"/>
          <w:sz w:val="28"/>
        </w:rPr>
        <w:t xml:space="preserve">, </w:t>
      </w:r>
      <w:r w:rsidR="00335787">
        <w:rPr>
          <w:rFonts w:ascii="Times New Roman" w:eastAsia="Times New Roman" w:hAnsi="Times New Roman" w:cs="Times New Roman"/>
          <w:sz w:val="28"/>
        </w:rPr>
        <w:t xml:space="preserve">e </w:t>
      </w:r>
      <w:r w:rsidR="00BD69AA" w:rsidRPr="00BD69AA">
        <w:rPr>
          <w:rFonts w:ascii="Times New Roman" w:eastAsia="Times New Roman" w:hAnsi="Times New Roman" w:cs="Times New Roman"/>
          <w:b/>
          <w:sz w:val="28"/>
        </w:rPr>
        <w:t xml:space="preserve">do subitem </w:t>
      </w:r>
      <w:r w:rsidR="00335787" w:rsidRPr="00BD69AA">
        <w:rPr>
          <w:rFonts w:ascii="Times New Roman" w:eastAsia="Times New Roman" w:hAnsi="Times New Roman" w:cs="Times New Roman"/>
          <w:b/>
          <w:sz w:val="28"/>
        </w:rPr>
        <w:t>5.13</w:t>
      </w:r>
      <w:r w:rsidR="00335787">
        <w:rPr>
          <w:rFonts w:ascii="Times New Roman" w:eastAsia="Times New Roman" w:hAnsi="Times New Roman" w:cs="Times New Roman"/>
          <w:sz w:val="28"/>
        </w:rPr>
        <w:t>, tendo em vista</w:t>
      </w:r>
      <w:r w:rsidR="00BD69AA">
        <w:rPr>
          <w:rFonts w:ascii="Times New Roman" w:eastAsia="Times New Roman" w:hAnsi="Times New Roman" w:cs="Times New Roman"/>
          <w:sz w:val="28"/>
        </w:rPr>
        <w:t xml:space="preserve"> </w:t>
      </w:r>
      <w:r w:rsidR="00335787">
        <w:rPr>
          <w:rFonts w:ascii="Times New Roman" w:eastAsia="Times New Roman" w:hAnsi="Times New Roman" w:cs="Times New Roman"/>
          <w:sz w:val="28"/>
        </w:rPr>
        <w:t xml:space="preserve">publicação no </w:t>
      </w:r>
      <w:r w:rsidR="00BD69AA">
        <w:rPr>
          <w:rFonts w:ascii="Times New Roman" w:eastAsia="Times New Roman" w:hAnsi="Times New Roman" w:cs="Times New Roman"/>
          <w:sz w:val="28"/>
        </w:rPr>
        <w:t>DOC</w:t>
      </w:r>
      <w:r w:rsidR="00335787" w:rsidRPr="00335787">
        <w:rPr>
          <w:rFonts w:ascii="Times New Roman" w:eastAsia="Times New Roman" w:hAnsi="Times New Roman" w:cs="Times New Roman"/>
          <w:sz w:val="28"/>
        </w:rPr>
        <w:t xml:space="preserve"> de 12</w:t>
      </w:r>
      <w:r w:rsidR="00BD69AA">
        <w:rPr>
          <w:rFonts w:ascii="Times New Roman" w:eastAsia="Times New Roman" w:hAnsi="Times New Roman" w:cs="Times New Roman"/>
          <w:sz w:val="28"/>
        </w:rPr>
        <w:t>.11.2019</w:t>
      </w:r>
      <w:r w:rsidR="00335787" w:rsidRPr="00335787">
        <w:rPr>
          <w:rFonts w:ascii="Times New Roman" w:eastAsia="Times New Roman" w:hAnsi="Times New Roman" w:cs="Times New Roman"/>
          <w:sz w:val="28"/>
        </w:rPr>
        <w:t xml:space="preserve"> da Portaria nº 020/SIURB/2019</w:t>
      </w:r>
      <w:r w:rsidR="00BD69AA">
        <w:rPr>
          <w:rFonts w:ascii="Times New Roman" w:eastAsia="Times New Roman" w:hAnsi="Times New Roman" w:cs="Times New Roman"/>
          <w:sz w:val="28"/>
        </w:rPr>
        <w:t>,</w:t>
      </w:r>
      <w:r w:rsidR="00335787" w:rsidRPr="00335787">
        <w:rPr>
          <w:rFonts w:ascii="Times New Roman" w:eastAsia="Times New Roman" w:hAnsi="Times New Roman" w:cs="Times New Roman"/>
          <w:sz w:val="28"/>
        </w:rPr>
        <w:t xml:space="preserve"> que constituiu a Comissão Técnica Especial de Licitação </w:t>
      </w:r>
      <w:r w:rsidR="0094113B">
        <w:rPr>
          <w:rFonts w:ascii="Times New Roman" w:eastAsia="Times New Roman" w:hAnsi="Times New Roman" w:cs="Times New Roman"/>
          <w:sz w:val="28"/>
        </w:rPr>
        <w:t>(peças 69, 74 e 75).</w:t>
      </w:r>
      <w:r>
        <w:rPr>
          <w:rFonts w:ascii="Times New Roman" w:eastAsia="Times New Roman" w:hAnsi="Times New Roman" w:cs="Times New Roman"/>
          <w:sz w:val="28"/>
        </w:rPr>
        <w:t xml:space="preserve"> No </w:t>
      </w:r>
      <w:r w:rsidRPr="00E40CE7">
        <w:rPr>
          <w:rFonts w:ascii="Times New Roman" w:eastAsia="Times New Roman" w:hAnsi="Times New Roman" w:cs="Times New Roman"/>
          <w:b/>
          <w:sz w:val="28"/>
        </w:rPr>
        <w:t>TC 11.493/2019</w:t>
      </w:r>
      <w:r>
        <w:rPr>
          <w:rFonts w:ascii="Times New Roman" w:eastAsia="Times New Roman" w:hAnsi="Times New Roman" w:cs="Times New Roman"/>
          <w:sz w:val="28"/>
        </w:rPr>
        <w:t xml:space="preserve">, a Auditoria entendeu por </w:t>
      </w:r>
      <w:r w:rsidRPr="00E40CE7">
        <w:rPr>
          <w:rFonts w:ascii="Times New Roman" w:eastAsia="Times New Roman" w:hAnsi="Times New Roman" w:cs="Times New Roman"/>
          <w:b/>
          <w:sz w:val="28"/>
        </w:rPr>
        <w:t>superados os apontamentos dos subitens 5.9, 5.11, 5.12 e 5.13; prejudicados os apontamento dos subitens 5.5, 5.6, 5.7 e 5.8</w:t>
      </w:r>
      <w:r w:rsidRPr="00E40CE7">
        <w:rPr>
          <w:rFonts w:ascii="Times New Roman" w:eastAsia="Times New Roman" w:hAnsi="Times New Roman" w:cs="Times New Roman"/>
          <w:sz w:val="28"/>
        </w:rPr>
        <w:t xml:space="preserve">, </w:t>
      </w:r>
      <w:r w:rsidR="0061031A">
        <w:rPr>
          <w:rFonts w:ascii="Times New Roman" w:eastAsia="Times New Roman" w:hAnsi="Times New Roman" w:cs="Times New Roman"/>
          <w:sz w:val="28"/>
        </w:rPr>
        <w:t>diante da</w:t>
      </w:r>
      <w:r w:rsidRPr="00E40CE7">
        <w:rPr>
          <w:rFonts w:ascii="Times New Roman" w:eastAsia="Times New Roman" w:hAnsi="Times New Roman" w:cs="Times New Roman"/>
          <w:sz w:val="28"/>
        </w:rPr>
        <w:t xml:space="preserve"> exclusão dos ensaios tecnológicos dos orçamentos de referência; </w:t>
      </w:r>
      <w:r w:rsidRPr="0036170F">
        <w:rPr>
          <w:rFonts w:ascii="Times New Roman" w:eastAsia="Times New Roman" w:hAnsi="Times New Roman" w:cs="Times New Roman"/>
          <w:b/>
          <w:sz w:val="28"/>
        </w:rPr>
        <w:t>e ratificou as irregularidades apontadas nos subitens 5.1, 5.2, 5.3, 5</w:t>
      </w:r>
      <w:r w:rsidRPr="001825CA">
        <w:rPr>
          <w:rFonts w:ascii="Times New Roman" w:eastAsia="Times New Roman" w:hAnsi="Times New Roman" w:cs="Times New Roman"/>
          <w:b/>
          <w:sz w:val="28"/>
        </w:rPr>
        <w:t>.4, 5.10, 5.14, 5.15, 5.16 e 5.17.</w:t>
      </w:r>
    </w:p>
    <w:p w:rsidR="001825CA" w:rsidRPr="001825CA" w:rsidRDefault="001825CA" w:rsidP="001825CA">
      <w:pPr>
        <w:spacing w:before="0" w:line="276" w:lineRule="auto"/>
        <w:ind w:left="142" w:firstLine="1559"/>
        <w:jc w:val="both"/>
        <w:rPr>
          <w:rFonts w:ascii="Times New Roman" w:eastAsia="Times New Roman" w:hAnsi="Times New Roman" w:cs="Times New Roman"/>
          <w:sz w:val="28"/>
        </w:rPr>
      </w:pPr>
    </w:p>
    <w:p w:rsidR="00B3511E" w:rsidRDefault="0094113B" w:rsidP="00770AA8">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Feito esse breve relato, passo ao exame </w:t>
      </w:r>
      <w:r w:rsidR="00D76ACD">
        <w:rPr>
          <w:rFonts w:ascii="Times New Roman" w:eastAsia="Times New Roman" w:hAnsi="Times New Roman" w:cs="Times New Roman"/>
          <w:sz w:val="28"/>
        </w:rPr>
        <w:t xml:space="preserve">conjunto </w:t>
      </w:r>
      <w:r w:rsidR="00E40CE7">
        <w:rPr>
          <w:rFonts w:ascii="Times New Roman" w:eastAsia="Times New Roman" w:hAnsi="Times New Roman" w:cs="Times New Roman"/>
          <w:sz w:val="28"/>
        </w:rPr>
        <w:t xml:space="preserve">de cada um dos </w:t>
      </w:r>
      <w:r w:rsidR="00D76ACD">
        <w:rPr>
          <w:rFonts w:ascii="Times New Roman" w:eastAsia="Times New Roman" w:hAnsi="Times New Roman" w:cs="Times New Roman"/>
          <w:sz w:val="28"/>
        </w:rPr>
        <w:t>apontamentos</w:t>
      </w:r>
      <w:r w:rsidR="00E40CE7">
        <w:rPr>
          <w:rFonts w:ascii="Times New Roman" w:eastAsia="Times New Roman" w:hAnsi="Times New Roman" w:cs="Times New Roman"/>
          <w:sz w:val="28"/>
        </w:rPr>
        <w:t xml:space="preserve"> reman</w:t>
      </w:r>
      <w:r w:rsidR="00D76ACD">
        <w:rPr>
          <w:rFonts w:ascii="Times New Roman" w:eastAsia="Times New Roman" w:hAnsi="Times New Roman" w:cs="Times New Roman"/>
          <w:sz w:val="28"/>
        </w:rPr>
        <w:t>e</w:t>
      </w:r>
      <w:r w:rsidR="00E40CE7">
        <w:rPr>
          <w:rFonts w:ascii="Times New Roman" w:eastAsia="Times New Roman" w:hAnsi="Times New Roman" w:cs="Times New Roman"/>
          <w:sz w:val="28"/>
        </w:rPr>
        <w:t>scentes</w:t>
      </w:r>
      <w:r>
        <w:rPr>
          <w:rFonts w:ascii="Times New Roman" w:eastAsia="Times New Roman" w:hAnsi="Times New Roman" w:cs="Times New Roman"/>
          <w:sz w:val="28"/>
        </w:rPr>
        <w:t xml:space="preserve"> visando avaliar a necessidade </w:t>
      </w:r>
      <w:r w:rsidR="00F45ACE">
        <w:rPr>
          <w:rFonts w:ascii="Times New Roman" w:eastAsia="Times New Roman" w:hAnsi="Times New Roman" w:cs="Times New Roman"/>
          <w:sz w:val="28"/>
        </w:rPr>
        <w:t>de eventual</w:t>
      </w:r>
      <w:r w:rsidRPr="0094113B">
        <w:rPr>
          <w:rFonts w:ascii="Times New Roman" w:eastAsia="Times New Roman" w:hAnsi="Times New Roman" w:cs="Times New Roman"/>
          <w:sz w:val="28"/>
        </w:rPr>
        <w:t xml:space="preserve"> suspensão do procedimento licitatório, com fulcro no poder geral de cautela</w:t>
      </w:r>
      <w:r w:rsidR="00E40CE7">
        <w:rPr>
          <w:rFonts w:ascii="Times New Roman" w:eastAsia="Times New Roman" w:hAnsi="Times New Roman" w:cs="Times New Roman"/>
          <w:sz w:val="28"/>
        </w:rPr>
        <w:t>, em conformidade com o disposto no art. 2º da Resolução nº 18/2019 desta Corte.</w:t>
      </w:r>
      <w:r>
        <w:rPr>
          <w:rFonts w:ascii="Times New Roman" w:eastAsia="Times New Roman" w:hAnsi="Times New Roman" w:cs="Times New Roman"/>
          <w:sz w:val="28"/>
        </w:rPr>
        <w:t xml:space="preserve"> </w:t>
      </w:r>
      <w:r w:rsidRPr="0094113B">
        <w:rPr>
          <w:rFonts w:ascii="Times New Roman" w:eastAsia="Times New Roman" w:hAnsi="Times New Roman" w:cs="Times New Roman"/>
          <w:sz w:val="28"/>
        </w:rPr>
        <w:t xml:space="preserve"> </w:t>
      </w:r>
    </w:p>
    <w:p w:rsidR="00770AA8" w:rsidRDefault="00770AA8" w:rsidP="00770AA8">
      <w:pPr>
        <w:spacing w:before="0" w:line="276" w:lineRule="auto"/>
        <w:ind w:left="142" w:firstLine="1559"/>
        <w:jc w:val="both"/>
        <w:rPr>
          <w:rFonts w:ascii="Times New Roman" w:eastAsia="Times New Roman" w:hAnsi="Times New Roman" w:cs="Times New Roman"/>
          <w:sz w:val="28"/>
        </w:rPr>
      </w:pPr>
    </w:p>
    <w:p w:rsidR="0094113B" w:rsidRPr="00335787" w:rsidRDefault="00285ED7" w:rsidP="00285ED7">
      <w:pPr>
        <w:pStyle w:val="PargrafodaLista"/>
        <w:numPr>
          <w:ilvl w:val="0"/>
          <w:numId w:val="29"/>
        </w:numPr>
        <w:spacing w:before="0" w:line="276" w:lineRule="auto"/>
        <w:jc w:val="both"/>
        <w:rPr>
          <w:rFonts w:ascii="Times New Roman" w:eastAsia="Times New Roman" w:hAnsi="Times New Roman" w:cs="Times New Roman"/>
          <w:b/>
          <w:sz w:val="28"/>
        </w:rPr>
      </w:pPr>
      <w:r w:rsidRPr="00335787">
        <w:rPr>
          <w:rFonts w:ascii="Times New Roman" w:eastAsia="Times New Roman" w:hAnsi="Times New Roman" w:cs="Times New Roman"/>
          <w:b/>
          <w:sz w:val="28"/>
        </w:rPr>
        <w:t xml:space="preserve">Da escolha </w:t>
      </w:r>
      <w:r w:rsidR="00A9143F">
        <w:rPr>
          <w:rFonts w:ascii="Times New Roman" w:eastAsia="Times New Roman" w:hAnsi="Times New Roman" w:cs="Times New Roman"/>
          <w:b/>
          <w:sz w:val="28"/>
        </w:rPr>
        <w:t>do tipo</w:t>
      </w:r>
      <w:r w:rsidRPr="00335787">
        <w:rPr>
          <w:rFonts w:ascii="Times New Roman" w:eastAsia="Times New Roman" w:hAnsi="Times New Roman" w:cs="Times New Roman"/>
          <w:b/>
          <w:sz w:val="28"/>
        </w:rPr>
        <w:t xml:space="preserve"> técnica e preço (5.1)</w:t>
      </w:r>
    </w:p>
    <w:p w:rsidR="00285ED7" w:rsidRDefault="00285ED7" w:rsidP="00475DB7">
      <w:pPr>
        <w:spacing w:before="0" w:line="276" w:lineRule="auto"/>
        <w:jc w:val="both"/>
        <w:rPr>
          <w:rFonts w:ascii="Times New Roman" w:eastAsia="Times New Roman" w:hAnsi="Times New Roman" w:cs="Times New Roman"/>
          <w:sz w:val="28"/>
        </w:rPr>
      </w:pPr>
    </w:p>
    <w:p w:rsidR="003457B8" w:rsidRDefault="00475DB7" w:rsidP="003457B8">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O apontamento </w:t>
      </w:r>
      <w:r w:rsidRPr="00475DB7">
        <w:rPr>
          <w:rFonts w:ascii="Times New Roman" w:eastAsia="Times New Roman" w:hAnsi="Times New Roman" w:cs="Times New Roman"/>
          <w:sz w:val="28"/>
        </w:rPr>
        <w:t>es</w:t>
      </w:r>
      <w:r>
        <w:rPr>
          <w:rFonts w:ascii="Times New Roman" w:eastAsia="Times New Roman" w:hAnsi="Times New Roman" w:cs="Times New Roman"/>
          <w:sz w:val="28"/>
        </w:rPr>
        <w:t>tá relacionado</w:t>
      </w:r>
      <w:r w:rsidRPr="00475DB7">
        <w:rPr>
          <w:rFonts w:ascii="Times New Roman" w:eastAsia="Times New Roman" w:hAnsi="Times New Roman" w:cs="Times New Roman"/>
          <w:sz w:val="28"/>
        </w:rPr>
        <w:t xml:space="preserve"> à natureza do objeto licitado, para fins de enquad</w:t>
      </w:r>
      <w:r>
        <w:rPr>
          <w:rFonts w:ascii="Times New Roman" w:eastAsia="Times New Roman" w:hAnsi="Times New Roman" w:cs="Times New Roman"/>
          <w:sz w:val="28"/>
        </w:rPr>
        <w:t xml:space="preserve">ramento no tipo técnica e preço, conforme previsão contida no </w:t>
      </w:r>
      <w:r w:rsidRPr="00475DB7">
        <w:rPr>
          <w:rFonts w:ascii="Times New Roman" w:eastAsia="Times New Roman" w:hAnsi="Times New Roman" w:cs="Times New Roman"/>
          <w:sz w:val="28"/>
        </w:rPr>
        <w:t xml:space="preserve">art. 46, </w:t>
      </w:r>
      <w:r w:rsidRPr="00475DB7">
        <w:rPr>
          <w:rFonts w:ascii="Times New Roman" w:eastAsia="Times New Roman" w:hAnsi="Times New Roman" w:cs="Times New Roman"/>
          <w:i/>
          <w:sz w:val="28"/>
        </w:rPr>
        <w:t>‘caput’</w:t>
      </w:r>
      <w:r w:rsidRPr="00475DB7">
        <w:rPr>
          <w:rFonts w:ascii="Times New Roman" w:eastAsia="Times New Roman" w:hAnsi="Times New Roman" w:cs="Times New Roman"/>
          <w:sz w:val="28"/>
        </w:rPr>
        <w:t xml:space="preserve"> da Lei nº 8.666/1993, </w:t>
      </w:r>
      <w:r>
        <w:rPr>
          <w:rFonts w:ascii="Times New Roman" w:eastAsia="Times New Roman" w:hAnsi="Times New Roman" w:cs="Times New Roman"/>
          <w:sz w:val="28"/>
        </w:rPr>
        <w:t xml:space="preserve">segundo o qual </w:t>
      </w:r>
      <w:r w:rsidRPr="00475DB7">
        <w:rPr>
          <w:rFonts w:ascii="Times New Roman" w:eastAsia="Times New Roman" w:hAnsi="Times New Roman" w:cs="Times New Roman"/>
          <w:sz w:val="28"/>
        </w:rPr>
        <w:t xml:space="preserve">sua utilização é exclusiva para serviços de natureza predominantemente intelectual, em </w:t>
      </w:r>
      <w:r w:rsidRPr="00CF6E41">
        <w:rPr>
          <w:rFonts w:ascii="Times New Roman" w:eastAsia="Times New Roman" w:hAnsi="Times New Roman" w:cs="Times New Roman"/>
          <w:b/>
          <w:sz w:val="28"/>
        </w:rPr>
        <w:t>especial na elaboração de projetos</w:t>
      </w:r>
      <w:r w:rsidRPr="00475DB7">
        <w:rPr>
          <w:rFonts w:ascii="Times New Roman" w:eastAsia="Times New Roman" w:hAnsi="Times New Roman" w:cs="Times New Roman"/>
          <w:sz w:val="28"/>
        </w:rPr>
        <w:t xml:space="preserve">, cálculos, fiscalização, supervisão e gerenciamento e de engenharia consultiva em geral, e, em particular, para a </w:t>
      </w:r>
      <w:r w:rsidRPr="00CF6E41">
        <w:rPr>
          <w:rFonts w:ascii="Times New Roman" w:eastAsia="Times New Roman" w:hAnsi="Times New Roman" w:cs="Times New Roman"/>
          <w:b/>
          <w:sz w:val="28"/>
        </w:rPr>
        <w:t>elaboração de estudos técnicos preliminares e projetos básicos e executivos</w:t>
      </w:r>
      <w:r w:rsidRPr="00475DB7">
        <w:rPr>
          <w:rFonts w:ascii="Times New Roman" w:eastAsia="Times New Roman" w:hAnsi="Times New Roman" w:cs="Times New Roman"/>
          <w:sz w:val="28"/>
        </w:rPr>
        <w:t>.</w:t>
      </w:r>
    </w:p>
    <w:p w:rsidR="00A9143F" w:rsidRDefault="00A9143F" w:rsidP="00A9143F">
      <w:pPr>
        <w:spacing w:before="0" w:line="276" w:lineRule="auto"/>
        <w:ind w:left="142" w:firstLine="1559"/>
        <w:jc w:val="both"/>
        <w:rPr>
          <w:rFonts w:ascii="Times New Roman" w:eastAsia="Times New Roman" w:hAnsi="Times New Roman" w:cs="Times New Roman"/>
          <w:sz w:val="28"/>
        </w:rPr>
      </w:pPr>
    </w:p>
    <w:p w:rsidR="00C3325C" w:rsidRDefault="00C3325C" w:rsidP="002A3F34">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Destacamos das justificativas apresentadas pela </w:t>
      </w:r>
      <w:r w:rsidR="00A25542" w:rsidRPr="00A25542">
        <w:rPr>
          <w:rFonts w:ascii="Times New Roman" w:eastAsia="Times New Roman" w:hAnsi="Times New Roman" w:cs="Times New Roman"/>
          <w:sz w:val="28"/>
        </w:rPr>
        <w:t xml:space="preserve">Origem </w:t>
      </w:r>
      <w:r>
        <w:rPr>
          <w:rFonts w:ascii="Times New Roman" w:eastAsia="Times New Roman" w:hAnsi="Times New Roman" w:cs="Times New Roman"/>
          <w:sz w:val="28"/>
        </w:rPr>
        <w:t xml:space="preserve">o quanto segue (peça 73): </w:t>
      </w:r>
    </w:p>
    <w:p w:rsidR="00C3325C" w:rsidRDefault="00C3325C" w:rsidP="002A3F34">
      <w:pPr>
        <w:spacing w:before="0" w:line="276" w:lineRule="auto"/>
        <w:ind w:left="142" w:firstLine="1559"/>
        <w:jc w:val="both"/>
        <w:rPr>
          <w:rFonts w:ascii="Times New Roman" w:eastAsia="Times New Roman" w:hAnsi="Times New Roman" w:cs="Times New Roman"/>
          <w:sz w:val="28"/>
        </w:rPr>
      </w:pPr>
    </w:p>
    <w:p w:rsidR="00C3325C" w:rsidRPr="00C3325C" w:rsidRDefault="00C3325C" w:rsidP="00C3325C">
      <w:pPr>
        <w:spacing w:before="0" w:line="240" w:lineRule="auto"/>
        <w:ind w:left="1701"/>
        <w:jc w:val="both"/>
        <w:rPr>
          <w:rFonts w:ascii="Times New Roman" w:eastAsia="Times New Roman" w:hAnsi="Times New Roman" w:cs="Times New Roman"/>
        </w:rPr>
      </w:pPr>
      <w:r>
        <w:rPr>
          <w:rFonts w:ascii="Times New Roman" w:eastAsia="Times New Roman" w:hAnsi="Times New Roman" w:cs="Times New Roman"/>
        </w:rPr>
        <w:t>“</w:t>
      </w:r>
      <w:r w:rsidRPr="00C3325C">
        <w:rPr>
          <w:rFonts w:ascii="Times New Roman" w:eastAsia="Times New Roman" w:hAnsi="Times New Roman" w:cs="Times New Roman"/>
        </w:rPr>
        <w:t xml:space="preserve">Esta licitação tem por objetivo central </w:t>
      </w:r>
      <w:r w:rsidRPr="00CF6E41">
        <w:rPr>
          <w:rFonts w:ascii="Times New Roman" w:eastAsia="Times New Roman" w:hAnsi="Times New Roman" w:cs="Times New Roman"/>
          <w:u w:val="single"/>
        </w:rPr>
        <w:t>obter uma série de dados técnicos para subsidiar a elaboração de um programa de manutenção das OAE para o desenvolvimento de um conjunto de ações com foco na manutenção preventiva, corretiva e/ou mitigadora</w:t>
      </w:r>
      <w:r w:rsidRPr="00C3325C">
        <w:rPr>
          <w:rFonts w:ascii="Times New Roman" w:eastAsia="Times New Roman" w:hAnsi="Times New Roman" w:cs="Times New Roman"/>
        </w:rPr>
        <w:t xml:space="preserve">. Tais informações serão de grande valia, ainda mais quando se observa o histórico que a Cidade de São Paulo vem acumulando nesta questão específica. A maioria dos viadutos e pontes construídos na cidade é da década de quarenta a setenta, encontrando-se com mais de 50 (cinquenta) anos de operação em média, e sujeitas ao envelhecimento natural e a deterioração de suas propriedades estruturais e funcionais. </w:t>
      </w:r>
      <w:r w:rsidRPr="00CF6E41">
        <w:rPr>
          <w:rFonts w:ascii="Times New Roman" w:eastAsia="Times New Roman" w:hAnsi="Times New Roman" w:cs="Times New Roman"/>
          <w:u w:val="single"/>
        </w:rPr>
        <w:t>Hoje não há um cadastro atualizado das obras de artes existentes e seu real estado de conservação, pois não foram realizadas inspeções rotineiras das estruturas regulares e gerais</w:t>
      </w:r>
      <w:r w:rsidRPr="00C3325C">
        <w:rPr>
          <w:rFonts w:ascii="Times New Roman" w:eastAsia="Times New Roman" w:hAnsi="Times New Roman" w:cs="Times New Roman"/>
        </w:rPr>
        <w:t>. A ABNT NBR 9452:2016 conceitua inspeções rotineiras como sendo: "inspeção de acompanhamento periódico, visual, com ou sem a utilização de equipamentos e/ou recursos especiais para análise ou acesso, realizado</w:t>
      </w:r>
      <w:r>
        <w:rPr>
          <w:rFonts w:ascii="Times New Roman" w:eastAsia="Times New Roman" w:hAnsi="Times New Roman" w:cs="Times New Roman"/>
        </w:rPr>
        <w:t xml:space="preserve"> em prazo não superior a um ano”</w:t>
      </w:r>
      <w:r w:rsidRPr="00C3325C">
        <w:rPr>
          <w:rFonts w:ascii="Times New Roman" w:eastAsia="Times New Roman" w:hAnsi="Times New Roman" w:cs="Times New Roman"/>
        </w:rPr>
        <w:t>.</w:t>
      </w:r>
    </w:p>
    <w:p w:rsidR="00C3325C" w:rsidRPr="00C3325C" w:rsidRDefault="00C3325C" w:rsidP="00C3325C">
      <w:pPr>
        <w:spacing w:before="0" w:line="240" w:lineRule="auto"/>
        <w:ind w:left="1701"/>
        <w:jc w:val="both"/>
        <w:rPr>
          <w:rFonts w:ascii="Times New Roman" w:eastAsia="Times New Roman" w:hAnsi="Times New Roman" w:cs="Times New Roman"/>
        </w:rPr>
      </w:pPr>
      <w:r w:rsidRPr="00C3325C">
        <w:rPr>
          <w:rFonts w:ascii="Times New Roman" w:eastAsia="Times New Roman" w:hAnsi="Times New Roman" w:cs="Times New Roman"/>
        </w:rPr>
        <w:t>(...)</w:t>
      </w:r>
    </w:p>
    <w:p w:rsidR="00C3325C" w:rsidRPr="00C3325C" w:rsidRDefault="00C3325C" w:rsidP="00C3325C">
      <w:pPr>
        <w:spacing w:before="0" w:line="240" w:lineRule="auto"/>
        <w:ind w:left="1701"/>
        <w:jc w:val="both"/>
        <w:rPr>
          <w:rFonts w:ascii="Times New Roman" w:eastAsia="Times New Roman" w:hAnsi="Times New Roman" w:cs="Times New Roman"/>
        </w:rPr>
      </w:pPr>
      <w:r w:rsidRPr="00CF6E41">
        <w:rPr>
          <w:rFonts w:ascii="Times New Roman" w:eastAsia="Times New Roman" w:hAnsi="Times New Roman" w:cs="Times New Roman"/>
          <w:u w:val="single"/>
        </w:rPr>
        <w:t>As inspeções especiais são mais minuciosas e técnicas, necessitam de profissionais, equipamentos e aparelhos especiais, o que possibilita análises mais aprofundadas, com proposição de soluções preventivas, corretivas e/ou mitigadoras, além de prever a possibilidade do surgimento de possíveis problemas futuros e gerenciar, através de indicadores, situações onde haja expectativa de falha e ainda programar-se para uma intervenção em oportunidade mais apropriada, sem acarretar prejuízos à população.</w:t>
      </w:r>
      <w:r w:rsidRPr="00C3325C">
        <w:rPr>
          <w:rFonts w:ascii="Times New Roman" w:eastAsia="Times New Roman" w:hAnsi="Times New Roman" w:cs="Times New Roman"/>
        </w:rPr>
        <w:t xml:space="preserve"> Assim, entender que o critério de seleção deva se focar única e exclusivamente pelo menor preço</w:t>
      </w:r>
      <w:r w:rsidR="00B56EB4">
        <w:rPr>
          <w:rFonts w:ascii="Times New Roman" w:eastAsia="Times New Roman" w:hAnsi="Times New Roman" w:cs="Times New Roman"/>
        </w:rPr>
        <w:t xml:space="preserve"> </w:t>
      </w:r>
      <w:r w:rsidRPr="00C3325C">
        <w:rPr>
          <w:rFonts w:ascii="Times New Roman" w:eastAsia="Times New Roman" w:hAnsi="Times New Roman" w:cs="Times New Roman"/>
        </w:rPr>
        <w:t xml:space="preserve">não se coaduna com o objetivo proposto nesta licitação. </w:t>
      </w:r>
      <w:r w:rsidRPr="00B56EB4">
        <w:rPr>
          <w:rFonts w:ascii="Times New Roman" w:eastAsia="Times New Roman" w:hAnsi="Times New Roman" w:cs="Times New Roman"/>
          <w:u w:val="single"/>
        </w:rPr>
        <w:t>O objetivo central é selecionar a empresa com maior capacidade técnica para o tratamento dos dados levantados, isto porque os dados são códigos que constituem a matéria prima da informação, e representam um ou mais significados de um cenário que, isoladamente não pode transmitir uma mensagem ou representar algum conhecimento</w:t>
      </w:r>
      <w:r w:rsidRPr="00C3325C">
        <w:rPr>
          <w:rFonts w:ascii="Times New Roman" w:eastAsia="Times New Roman" w:hAnsi="Times New Roman" w:cs="Times New Roman"/>
        </w:rPr>
        <w:t>.”</w:t>
      </w:r>
    </w:p>
    <w:p w:rsidR="00C3325C" w:rsidRDefault="00C3325C" w:rsidP="002A3F34">
      <w:pPr>
        <w:spacing w:before="0" w:line="276" w:lineRule="auto"/>
        <w:ind w:left="142" w:firstLine="1559"/>
        <w:jc w:val="both"/>
        <w:rPr>
          <w:rFonts w:ascii="Times New Roman" w:eastAsia="Times New Roman" w:hAnsi="Times New Roman" w:cs="Times New Roman"/>
          <w:sz w:val="28"/>
        </w:rPr>
      </w:pPr>
    </w:p>
    <w:p w:rsidR="002A3F34" w:rsidRDefault="002A3F34" w:rsidP="002A3F34">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Trata-se, </w:t>
      </w:r>
      <w:r w:rsidR="008A2865">
        <w:rPr>
          <w:rFonts w:ascii="Times New Roman" w:eastAsia="Times New Roman" w:hAnsi="Times New Roman" w:cs="Times New Roman"/>
          <w:sz w:val="28"/>
        </w:rPr>
        <w:t>então</w:t>
      </w:r>
      <w:r>
        <w:rPr>
          <w:rFonts w:ascii="Times New Roman" w:eastAsia="Times New Roman" w:hAnsi="Times New Roman" w:cs="Times New Roman"/>
          <w:sz w:val="28"/>
        </w:rPr>
        <w:t xml:space="preserve">, de contratação </w:t>
      </w:r>
      <w:r w:rsidR="008A2865">
        <w:rPr>
          <w:rFonts w:ascii="Times New Roman" w:eastAsia="Times New Roman" w:hAnsi="Times New Roman" w:cs="Times New Roman"/>
          <w:sz w:val="28"/>
        </w:rPr>
        <w:t xml:space="preserve">atípica </w:t>
      </w:r>
      <w:r>
        <w:rPr>
          <w:rFonts w:ascii="Times New Roman" w:eastAsia="Times New Roman" w:hAnsi="Times New Roman" w:cs="Times New Roman"/>
          <w:sz w:val="28"/>
        </w:rPr>
        <w:t xml:space="preserve">no </w:t>
      </w:r>
      <w:r w:rsidR="008A2865">
        <w:rPr>
          <w:rFonts w:ascii="Times New Roman" w:eastAsia="Times New Roman" w:hAnsi="Times New Roman" w:cs="Times New Roman"/>
          <w:sz w:val="28"/>
        </w:rPr>
        <w:t xml:space="preserve">âmbito do </w:t>
      </w:r>
      <w:r>
        <w:rPr>
          <w:rFonts w:ascii="Times New Roman" w:eastAsia="Times New Roman" w:hAnsi="Times New Roman" w:cs="Times New Roman"/>
          <w:sz w:val="28"/>
        </w:rPr>
        <w:t xml:space="preserve">Município de São Paulo, </w:t>
      </w:r>
      <w:r w:rsidR="008A2865">
        <w:rPr>
          <w:rFonts w:ascii="Times New Roman" w:eastAsia="Times New Roman" w:hAnsi="Times New Roman" w:cs="Times New Roman"/>
          <w:sz w:val="28"/>
        </w:rPr>
        <w:t xml:space="preserve">seja pela </w:t>
      </w:r>
      <w:r w:rsidR="00DD3402">
        <w:rPr>
          <w:rFonts w:ascii="Times New Roman" w:eastAsia="Times New Roman" w:hAnsi="Times New Roman" w:cs="Times New Roman"/>
          <w:sz w:val="28"/>
        </w:rPr>
        <w:t xml:space="preserve">expectativa </w:t>
      </w:r>
      <w:r w:rsidR="000D4026">
        <w:rPr>
          <w:rFonts w:ascii="Times New Roman" w:eastAsia="Times New Roman" w:hAnsi="Times New Roman" w:cs="Times New Roman"/>
          <w:sz w:val="28"/>
        </w:rPr>
        <w:t xml:space="preserve">relativa ao grande número </w:t>
      </w:r>
      <w:r w:rsidR="008A2865">
        <w:rPr>
          <w:rFonts w:ascii="Times New Roman" w:eastAsia="Times New Roman" w:hAnsi="Times New Roman" w:cs="Times New Roman"/>
          <w:sz w:val="28"/>
        </w:rPr>
        <w:t xml:space="preserve">de estruturas </w:t>
      </w:r>
      <w:r w:rsidR="00C61944">
        <w:rPr>
          <w:rFonts w:ascii="Times New Roman" w:eastAsia="Times New Roman" w:hAnsi="Times New Roman" w:cs="Times New Roman"/>
          <w:sz w:val="28"/>
        </w:rPr>
        <w:t>que serão atendidas (</w:t>
      </w:r>
      <w:r w:rsidR="00DD3402">
        <w:rPr>
          <w:rFonts w:ascii="Times New Roman" w:eastAsia="Times New Roman" w:hAnsi="Times New Roman" w:cs="Times New Roman"/>
          <w:sz w:val="28"/>
        </w:rPr>
        <w:t>mais de 100</w:t>
      </w:r>
      <w:r w:rsidR="00C61944">
        <w:rPr>
          <w:rFonts w:ascii="Times New Roman" w:eastAsia="Times New Roman" w:hAnsi="Times New Roman" w:cs="Times New Roman"/>
          <w:sz w:val="28"/>
        </w:rPr>
        <w:t>)</w:t>
      </w:r>
      <w:r w:rsidR="008A2865">
        <w:rPr>
          <w:rFonts w:ascii="Times New Roman" w:eastAsia="Times New Roman" w:hAnsi="Times New Roman" w:cs="Times New Roman"/>
          <w:sz w:val="28"/>
        </w:rPr>
        <w:t xml:space="preserve">, </w:t>
      </w:r>
      <w:r w:rsidR="000679C7">
        <w:rPr>
          <w:rFonts w:ascii="Times New Roman" w:eastAsia="Times New Roman" w:hAnsi="Times New Roman" w:cs="Times New Roman"/>
          <w:sz w:val="28"/>
        </w:rPr>
        <w:t>seja</w:t>
      </w:r>
      <w:r w:rsidR="00C61944">
        <w:rPr>
          <w:rFonts w:ascii="Times New Roman" w:eastAsia="Times New Roman" w:hAnsi="Times New Roman" w:cs="Times New Roman"/>
          <w:sz w:val="28"/>
        </w:rPr>
        <w:t>, de outra parte,</w:t>
      </w:r>
      <w:r>
        <w:rPr>
          <w:rFonts w:ascii="Times New Roman" w:eastAsia="Times New Roman" w:hAnsi="Times New Roman" w:cs="Times New Roman"/>
          <w:sz w:val="28"/>
        </w:rPr>
        <w:t xml:space="preserve"> </w:t>
      </w:r>
      <w:r w:rsidR="00380CD7">
        <w:rPr>
          <w:rFonts w:ascii="Times New Roman" w:eastAsia="Times New Roman" w:hAnsi="Times New Roman" w:cs="Times New Roman"/>
          <w:sz w:val="28"/>
        </w:rPr>
        <w:t xml:space="preserve">pela necessidade da realização das inspeções e ensaios </w:t>
      </w:r>
      <w:r w:rsidR="00C61944">
        <w:rPr>
          <w:rFonts w:ascii="Times New Roman" w:eastAsia="Times New Roman" w:hAnsi="Times New Roman" w:cs="Times New Roman"/>
          <w:sz w:val="28"/>
        </w:rPr>
        <w:t>mantendo</w:t>
      </w:r>
      <w:r>
        <w:rPr>
          <w:rFonts w:ascii="Times New Roman" w:eastAsia="Times New Roman" w:hAnsi="Times New Roman" w:cs="Times New Roman"/>
          <w:sz w:val="28"/>
        </w:rPr>
        <w:t xml:space="preserve"> </w:t>
      </w:r>
      <w:r w:rsidR="000D4026">
        <w:rPr>
          <w:rFonts w:ascii="Times New Roman" w:eastAsia="Times New Roman" w:hAnsi="Times New Roman" w:cs="Times New Roman"/>
          <w:sz w:val="28"/>
        </w:rPr>
        <w:t>tais estruturas</w:t>
      </w:r>
      <w:r>
        <w:rPr>
          <w:rFonts w:ascii="Times New Roman" w:eastAsia="Times New Roman" w:hAnsi="Times New Roman" w:cs="Times New Roman"/>
          <w:sz w:val="28"/>
        </w:rPr>
        <w:t xml:space="preserve"> </w:t>
      </w:r>
      <w:r w:rsidRPr="003457B8">
        <w:rPr>
          <w:rFonts w:ascii="Times New Roman" w:eastAsia="Times New Roman" w:hAnsi="Times New Roman" w:cs="Times New Roman"/>
          <w:sz w:val="28"/>
        </w:rPr>
        <w:t xml:space="preserve">em uso, </w:t>
      </w:r>
      <w:r w:rsidR="00DD3402">
        <w:rPr>
          <w:rFonts w:ascii="Times New Roman" w:eastAsia="Times New Roman" w:hAnsi="Times New Roman" w:cs="Times New Roman"/>
          <w:sz w:val="28"/>
        </w:rPr>
        <w:t xml:space="preserve">além da elaboração de projetos de recuperação que deverão descrever a execução dos serviços, </w:t>
      </w:r>
      <w:r w:rsidRPr="003457B8">
        <w:rPr>
          <w:rFonts w:ascii="Times New Roman" w:eastAsia="Times New Roman" w:hAnsi="Times New Roman" w:cs="Times New Roman"/>
          <w:sz w:val="28"/>
        </w:rPr>
        <w:t>demonstrando</w:t>
      </w:r>
      <w:r w:rsidR="00DD3402">
        <w:rPr>
          <w:rFonts w:ascii="Times New Roman" w:eastAsia="Times New Roman" w:hAnsi="Times New Roman" w:cs="Times New Roman"/>
          <w:sz w:val="28"/>
        </w:rPr>
        <w:t>, assim,</w:t>
      </w:r>
      <w:r w:rsidRPr="003457B8">
        <w:rPr>
          <w:rFonts w:ascii="Times New Roman" w:eastAsia="Times New Roman" w:hAnsi="Times New Roman" w:cs="Times New Roman"/>
          <w:sz w:val="28"/>
        </w:rPr>
        <w:t xml:space="preserve"> a necessidade de seleção </w:t>
      </w:r>
      <w:r w:rsidR="00DD3402">
        <w:rPr>
          <w:rFonts w:ascii="Times New Roman" w:eastAsia="Times New Roman" w:hAnsi="Times New Roman" w:cs="Times New Roman"/>
          <w:sz w:val="28"/>
        </w:rPr>
        <w:t>de profissionais</w:t>
      </w:r>
      <w:r w:rsidRPr="003457B8">
        <w:rPr>
          <w:rFonts w:ascii="Times New Roman" w:eastAsia="Times New Roman" w:hAnsi="Times New Roman" w:cs="Times New Roman"/>
          <w:sz w:val="28"/>
        </w:rPr>
        <w:t xml:space="preserve"> altamente qualificado</w:t>
      </w:r>
      <w:r w:rsidR="00DD3402">
        <w:rPr>
          <w:rFonts w:ascii="Times New Roman" w:eastAsia="Times New Roman" w:hAnsi="Times New Roman" w:cs="Times New Roman"/>
          <w:sz w:val="28"/>
        </w:rPr>
        <w:t>s</w:t>
      </w:r>
      <w:r w:rsidRPr="003457B8">
        <w:rPr>
          <w:rFonts w:ascii="Times New Roman" w:eastAsia="Times New Roman" w:hAnsi="Times New Roman" w:cs="Times New Roman"/>
          <w:sz w:val="28"/>
        </w:rPr>
        <w:t>.</w:t>
      </w:r>
    </w:p>
    <w:p w:rsidR="0054551A" w:rsidRDefault="0054551A" w:rsidP="002A3F34">
      <w:pPr>
        <w:spacing w:before="0" w:line="276" w:lineRule="auto"/>
        <w:ind w:left="142" w:firstLine="1559"/>
        <w:jc w:val="both"/>
        <w:rPr>
          <w:rFonts w:ascii="Times New Roman" w:eastAsia="Times New Roman" w:hAnsi="Times New Roman" w:cs="Times New Roman"/>
          <w:sz w:val="28"/>
        </w:rPr>
      </w:pPr>
    </w:p>
    <w:p w:rsidR="00475DB7" w:rsidRPr="00B2054F" w:rsidRDefault="00D66074" w:rsidP="0054551A">
      <w:pPr>
        <w:spacing w:before="0" w:line="276" w:lineRule="auto"/>
        <w:ind w:left="142" w:firstLine="1559"/>
        <w:jc w:val="both"/>
        <w:rPr>
          <w:rFonts w:ascii="Times New Roman" w:eastAsia="Times New Roman" w:hAnsi="Times New Roman" w:cs="Times New Roman"/>
          <w:b/>
          <w:sz w:val="28"/>
        </w:rPr>
      </w:pPr>
      <w:r>
        <w:rPr>
          <w:rFonts w:ascii="Times New Roman" w:eastAsia="Times New Roman" w:hAnsi="Times New Roman" w:cs="Times New Roman"/>
          <w:sz w:val="28"/>
        </w:rPr>
        <w:t>Destaca-se que as I</w:t>
      </w:r>
      <w:r w:rsidR="0054551A">
        <w:rPr>
          <w:rFonts w:ascii="Times New Roman" w:eastAsia="Times New Roman" w:hAnsi="Times New Roman" w:cs="Times New Roman"/>
          <w:sz w:val="28"/>
        </w:rPr>
        <w:t xml:space="preserve">nspeções </w:t>
      </w:r>
      <w:r>
        <w:rPr>
          <w:rFonts w:ascii="Times New Roman" w:eastAsia="Times New Roman" w:hAnsi="Times New Roman" w:cs="Times New Roman"/>
          <w:sz w:val="28"/>
        </w:rPr>
        <w:t>E</w:t>
      </w:r>
      <w:r w:rsidR="0054551A">
        <w:rPr>
          <w:rFonts w:ascii="Times New Roman" w:eastAsia="Times New Roman" w:hAnsi="Times New Roman" w:cs="Times New Roman"/>
          <w:sz w:val="28"/>
        </w:rPr>
        <w:t>speciais</w:t>
      </w:r>
      <w:r w:rsidR="0036170F">
        <w:rPr>
          <w:rFonts w:ascii="Times New Roman" w:eastAsia="Times New Roman" w:hAnsi="Times New Roman" w:cs="Times New Roman"/>
          <w:sz w:val="28"/>
        </w:rPr>
        <w:t xml:space="preserve"> </w:t>
      </w:r>
      <w:r w:rsidR="0054551A" w:rsidRPr="0054551A">
        <w:rPr>
          <w:rFonts w:ascii="Times New Roman" w:eastAsia="Times New Roman" w:hAnsi="Times New Roman" w:cs="Times New Roman"/>
          <w:sz w:val="28"/>
        </w:rPr>
        <w:t xml:space="preserve">deveriam </w:t>
      </w:r>
      <w:r w:rsidR="0054551A">
        <w:rPr>
          <w:rFonts w:ascii="Times New Roman" w:eastAsia="Times New Roman" w:hAnsi="Times New Roman" w:cs="Times New Roman"/>
          <w:sz w:val="28"/>
        </w:rPr>
        <w:t>ser realizadas</w:t>
      </w:r>
      <w:r w:rsidR="0054551A" w:rsidRPr="007E7171">
        <w:rPr>
          <w:rFonts w:ascii="Times New Roman" w:eastAsia="Times New Roman" w:hAnsi="Times New Roman" w:cs="Times New Roman"/>
          <w:sz w:val="28"/>
        </w:rPr>
        <w:t xml:space="preserve"> a cada 05 anos, podendo ser </w:t>
      </w:r>
      <w:r w:rsidR="000D4026">
        <w:rPr>
          <w:rFonts w:ascii="Times New Roman" w:eastAsia="Times New Roman" w:hAnsi="Times New Roman" w:cs="Times New Roman"/>
          <w:sz w:val="28"/>
        </w:rPr>
        <w:t>adiadas para</w:t>
      </w:r>
      <w:r w:rsidR="0054551A" w:rsidRPr="007E7171">
        <w:rPr>
          <w:rFonts w:ascii="Times New Roman" w:eastAsia="Times New Roman" w:hAnsi="Times New Roman" w:cs="Times New Roman"/>
          <w:sz w:val="28"/>
        </w:rPr>
        <w:t xml:space="preserve"> até 08 anos</w:t>
      </w:r>
      <w:r w:rsidR="0036170F">
        <w:rPr>
          <w:rFonts w:ascii="Times New Roman" w:eastAsia="Times New Roman" w:hAnsi="Times New Roman" w:cs="Times New Roman"/>
          <w:sz w:val="28"/>
        </w:rPr>
        <w:t xml:space="preserve">, conforme item 4.3 da </w:t>
      </w:r>
      <w:r w:rsidR="0036170F" w:rsidRPr="001D193B">
        <w:rPr>
          <w:rFonts w:ascii="Times New Roman" w:eastAsia="Times New Roman" w:hAnsi="Times New Roman" w:cs="Times New Roman"/>
          <w:b/>
          <w:sz w:val="28"/>
        </w:rPr>
        <w:t>NBR 9452/2016</w:t>
      </w:r>
      <w:r w:rsidR="0054551A">
        <w:rPr>
          <w:rFonts w:ascii="Times New Roman" w:eastAsia="Times New Roman" w:hAnsi="Times New Roman" w:cs="Times New Roman"/>
          <w:sz w:val="28"/>
        </w:rPr>
        <w:t xml:space="preserve">. </w:t>
      </w:r>
      <w:r w:rsidR="0036170F">
        <w:rPr>
          <w:rFonts w:ascii="Times New Roman" w:eastAsia="Times New Roman" w:hAnsi="Times New Roman" w:cs="Times New Roman"/>
          <w:sz w:val="28"/>
        </w:rPr>
        <w:t>Todavia, c</w:t>
      </w:r>
      <w:r w:rsidR="0054551A">
        <w:rPr>
          <w:rFonts w:ascii="Times New Roman" w:eastAsia="Times New Roman" w:hAnsi="Times New Roman" w:cs="Times New Roman"/>
          <w:sz w:val="28"/>
        </w:rPr>
        <w:t xml:space="preserve">onsiderando que muitas das estruturas que compõem o objeto desse certame foram construídas há mais de uma década, </w:t>
      </w:r>
      <w:r>
        <w:rPr>
          <w:rFonts w:ascii="Times New Roman" w:eastAsia="Times New Roman" w:hAnsi="Times New Roman" w:cs="Times New Roman"/>
          <w:sz w:val="28"/>
        </w:rPr>
        <w:t>e que, a</w:t>
      </w:r>
      <w:r w:rsidR="00C61944">
        <w:rPr>
          <w:rFonts w:ascii="Times New Roman" w:eastAsia="Times New Roman" w:hAnsi="Times New Roman" w:cs="Times New Roman"/>
          <w:sz w:val="28"/>
        </w:rPr>
        <w:t>té o presente momento, pelo</w:t>
      </w:r>
      <w:r w:rsidR="0054551A">
        <w:rPr>
          <w:rFonts w:ascii="Times New Roman" w:eastAsia="Times New Roman" w:hAnsi="Times New Roman" w:cs="Times New Roman"/>
          <w:sz w:val="28"/>
        </w:rPr>
        <w:t xml:space="preserve"> que consta nos autos, a PMSP não realizou </w:t>
      </w:r>
      <w:r>
        <w:rPr>
          <w:rFonts w:ascii="Times New Roman" w:eastAsia="Times New Roman" w:hAnsi="Times New Roman" w:cs="Times New Roman"/>
          <w:sz w:val="28"/>
        </w:rPr>
        <w:t>nenhuma dessas</w:t>
      </w:r>
      <w:r w:rsidR="0054551A">
        <w:rPr>
          <w:rFonts w:ascii="Times New Roman" w:eastAsia="Times New Roman" w:hAnsi="Times New Roman" w:cs="Times New Roman"/>
          <w:sz w:val="28"/>
        </w:rPr>
        <w:t xml:space="preserve"> inspeções, em desacordo com a Norma T</w:t>
      </w:r>
      <w:r>
        <w:rPr>
          <w:rFonts w:ascii="Times New Roman" w:eastAsia="Times New Roman" w:hAnsi="Times New Roman" w:cs="Times New Roman"/>
          <w:sz w:val="28"/>
        </w:rPr>
        <w:t xml:space="preserve">écnica, </w:t>
      </w:r>
      <w:r w:rsidRPr="00B2054F">
        <w:rPr>
          <w:rFonts w:ascii="Times New Roman" w:eastAsia="Times New Roman" w:hAnsi="Times New Roman" w:cs="Times New Roman"/>
          <w:b/>
          <w:sz w:val="28"/>
        </w:rPr>
        <w:t xml:space="preserve">a contratação desse objeto mostra-se </w:t>
      </w:r>
      <w:r w:rsidR="00871E35" w:rsidRPr="00B2054F">
        <w:rPr>
          <w:rFonts w:ascii="Times New Roman" w:eastAsia="Times New Roman" w:hAnsi="Times New Roman" w:cs="Times New Roman"/>
          <w:b/>
          <w:sz w:val="28"/>
        </w:rPr>
        <w:t>essencial</w:t>
      </w:r>
      <w:r w:rsidR="00B2054F">
        <w:rPr>
          <w:rFonts w:ascii="Times New Roman" w:eastAsia="Times New Roman" w:hAnsi="Times New Roman" w:cs="Times New Roman"/>
          <w:b/>
          <w:sz w:val="28"/>
        </w:rPr>
        <w:t xml:space="preserve"> e urgente</w:t>
      </w:r>
      <w:r w:rsidR="00871E35" w:rsidRPr="00B2054F">
        <w:rPr>
          <w:rFonts w:ascii="Times New Roman" w:eastAsia="Times New Roman" w:hAnsi="Times New Roman" w:cs="Times New Roman"/>
          <w:b/>
          <w:sz w:val="28"/>
        </w:rPr>
        <w:t>.</w:t>
      </w:r>
    </w:p>
    <w:p w:rsidR="00B2054F" w:rsidRDefault="00B2054F" w:rsidP="001D193B">
      <w:pPr>
        <w:spacing w:before="0" w:line="276" w:lineRule="auto"/>
        <w:jc w:val="both"/>
        <w:rPr>
          <w:rFonts w:ascii="Times New Roman" w:eastAsia="Times New Roman" w:hAnsi="Times New Roman" w:cs="Times New Roman"/>
          <w:sz w:val="28"/>
        </w:rPr>
      </w:pPr>
    </w:p>
    <w:p w:rsidR="005C7647" w:rsidRDefault="001D193B" w:rsidP="0091595D">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Sem prejuízo, </w:t>
      </w:r>
      <w:r w:rsidR="000D4026">
        <w:rPr>
          <w:rFonts w:ascii="Times New Roman" w:eastAsia="Times New Roman" w:hAnsi="Times New Roman" w:cs="Times New Roman"/>
          <w:sz w:val="28"/>
        </w:rPr>
        <w:t>a</w:t>
      </w:r>
      <w:r w:rsidR="00B2054F">
        <w:rPr>
          <w:rFonts w:ascii="Times New Roman" w:eastAsia="Times New Roman" w:hAnsi="Times New Roman" w:cs="Times New Roman"/>
          <w:sz w:val="28"/>
        </w:rPr>
        <w:t>ssiste razão à</w:t>
      </w:r>
      <w:r w:rsidR="000679C7">
        <w:rPr>
          <w:rFonts w:ascii="Times New Roman" w:eastAsia="Times New Roman" w:hAnsi="Times New Roman" w:cs="Times New Roman"/>
          <w:sz w:val="28"/>
        </w:rPr>
        <w:t xml:space="preserve"> </w:t>
      </w:r>
      <w:r w:rsidR="00B2054F">
        <w:rPr>
          <w:rFonts w:ascii="Times New Roman" w:eastAsia="Times New Roman" w:hAnsi="Times New Roman" w:cs="Times New Roman"/>
          <w:sz w:val="28"/>
        </w:rPr>
        <w:t>Auditoria</w:t>
      </w:r>
      <w:r w:rsidR="000679C7">
        <w:rPr>
          <w:rFonts w:ascii="Times New Roman" w:eastAsia="Times New Roman" w:hAnsi="Times New Roman" w:cs="Times New Roman"/>
          <w:sz w:val="28"/>
        </w:rPr>
        <w:t xml:space="preserve"> ao afirmar que a</w:t>
      </w:r>
      <w:r w:rsidR="00C3325C">
        <w:rPr>
          <w:rFonts w:ascii="Times New Roman" w:eastAsia="Times New Roman" w:hAnsi="Times New Roman" w:cs="Times New Roman"/>
          <w:sz w:val="28"/>
        </w:rPr>
        <w:t xml:space="preserve"> </w:t>
      </w:r>
      <w:r w:rsidR="003457B8" w:rsidRPr="003457B8">
        <w:rPr>
          <w:rFonts w:ascii="Times New Roman" w:eastAsia="Times New Roman" w:hAnsi="Times New Roman" w:cs="Times New Roman"/>
          <w:sz w:val="28"/>
        </w:rPr>
        <w:t xml:space="preserve">mencionada Norma </w:t>
      </w:r>
      <w:r w:rsidR="002A3F34">
        <w:rPr>
          <w:rFonts w:ascii="Times New Roman" w:eastAsia="Times New Roman" w:hAnsi="Times New Roman" w:cs="Times New Roman"/>
          <w:sz w:val="28"/>
        </w:rPr>
        <w:t>Técnica</w:t>
      </w:r>
      <w:r w:rsidR="006E125D">
        <w:rPr>
          <w:rFonts w:ascii="Times New Roman" w:eastAsia="Times New Roman" w:hAnsi="Times New Roman" w:cs="Times New Roman"/>
          <w:sz w:val="28"/>
        </w:rPr>
        <w:t xml:space="preserve"> </w:t>
      </w:r>
      <w:r w:rsidR="003457B8" w:rsidRPr="003457B8">
        <w:rPr>
          <w:rFonts w:ascii="Times New Roman" w:eastAsia="Times New Roman" w:hAnsi="Times New Roman" w:cs="Times New Roman"/>
          <w:sz w:val="28"/>
        </w:rPr>
        <w:t xml:space="preserve">serve como roteiro </w:t>
      </w:r>
      <w:r w:rsidR="000D4026">
        <w:rPr>
          <w:rFonts w:ascii="Times New Roman" w:eastAsia="Times New Roman" w:hAnsi="Times New Roman" w:cs="Times New Roman"/>
          <w:sz w:val="28"/>
        </w:rPr>
        <w:t xml:space="preserve">básico </w:t>
      </w:r>
      <w:r w:rsidR="003457B8" w:rsidRPr="003457B8">
        <w:rPr>
          <w:rFonts w:ascii="Times New Roman" w:eastAsia="Times New Roman" w:hAnsi="Times New Roman" w:cs="Times New Roman"/>
          <w:sz w:val="28"/>
        </w:rPr>
        <w:t>para a realização da inspeção</w:t>
      </w:r>
      <w:r w:rsidR="00B2054F">
        <w:rPr>
          <w:rFonts w:ascii="Times New Roman" w:eastAsia="Times New Roman" w:hAnsi="Times New Roman" w:cs="Times New Roman"/>
          <w:sz w:val="28"/>
        </w:rPr>
        <w:t>. C</w:t>
      </w:r>
      <w:r w:rsidR="002A3F34">
        <w:rPr>
          <w:rFonts w:ascii="Times New Roman" w:eastAsia="Times New Roman" w:hAnsi="Times New Roman" w:cs="Times New Roman"/>
          <w:sz w:val="28"/>
        </w:rPr>
        <w:t>ontudo,</w:t>
      </w:r>
      <w:r w:rsidR="001E6B7E">
        <w:rPr>
          <w:rFonts w:ascii="Times New Roman" w:eastAsia="Times New Roman" w:hAnsi="Times New Roman" w:cs="Times New Roman"/>
          <w:sz w:val="28"/>
        </w:rPr>
        <w:t xml:space="preserve"> é necessário observar que tal diretriz não</w:t>
      </w:r>
      <w:r w:rsidR="002A3F34">
        <w:rPr>
          <w:rFonts w:ascii="Times New Roman" w:eastAsia="Times New Roman" w:hAnsi="Times New Roman" w:cs="Times New Roman"/>
          <w:sz w:val="28"/>
        </w:rPr>
        <w:t xml:space="preserve"> </w:t>
      </w:r>
      <w:r w:rsidR="001E6B7E">
        <w:rPr>
          <w:rFonts w:ascii="Times New Roman" w:eastAsia="Times New Roman" w:hAnsi="Times New Roman" w:cs="Times New Roman"/>
          <w:sz w:val="28"/>
        </w:rPr>
        <w:t>estratifica</w:t>
      </w:r>
      <w:r w:rsidR="00CE1C99" w:rsidRPr="003457B8">
        <w:rPr>
          <w:rFonts w:ascii="Times New Roman" w:eastAsia="Times New Roman" w:hAnsi="Times New Roman" w:cs="Times New Roman"/>
          <w:sz w:val="28"/>
        </w:rPr>
        <w:t xml:space="preserve"> </w:t>
      </w:r>
      <w:r w:rsidR="003457B8" w:rsidRPr="003457B8">
        <w:rPr>
          <w:rFonts w:ascii="Times New Roman" w:eastAsia="Times New Roman" w:hAnsi="Times New Roman" w:cs="Times New Roman"/>
          <w:sz w:val="28"/>
        </w:rPr>
        <w:t>quais os procedimentos</w:t>
      </w:r>
      <w:r w:rsidR="006E125D">
        <w:rPr>
          <w:rFonts w:ascii="Times New Roman" w:eastAsia="Times New Roman" w:hAnsi="Times New Roman" w:cs="Times New Roman"/>
          <w:sz w:val="28"/>
        </w:rPr>
        <w:t xml:space="preserve"> </w:t>
      </w:r>
      <w:r w:rsidR="000D4026">
        <w:rPr>
          <w:rFonts w:ascii="Times New Roman" w:eastAsia="Times New Roman" w:hAnsi="Times New Roman" w:cs="Times New Roman"/>
          <w:sz w:val="28"/>
        </w:rPr>
        <w:t xml:space="preserve">que </w:t>
      </w:r>
      <w:r w:rsidR="00C32DAC">
        <w:rPr>
          <w:rFonts w:ascii="Times New Roman" w:eastAsia="Times New Roman" w:hAnsi="Times New Roman" w:cs="Times New Roman"/>
          <w:sz w:val="28"/>
        </w:rPr>
        <w:t>deverão ser</w:t>
      </w:r>
      <w:r w:rsidR="003457B8" w:rsidRPr="003457B8">
        <w:rPr>
          <w:rFonts w:ascii="Times New Roman" w:eastAsia="Times New Roman" w:hAnsi="Times New Roman" w:cs="Times New Roman"/>
          <w:sz w:val="28"/>
        </w:rPr>
        <w:t xml:space="preserve"> </w:t>
      </w:r>
      <w:r w:rsidR="00C32DAC">
        <w:rPr>
          <w:rFonts w:ascii="Times New Roman" w:eastAsia="Times New Roman" w:hAnsi="Times New Roman" w:cs="Times New Roman"/>
          <w:sz w:val="28"/>
        </w:rPr>
        <w:t>adotados</w:t>
      </w:r>
      <w:r w:rsidR="003457B8" w:rsidRPr="003457B8">
        <w:rPr>
          <w:rFonts w:ascii="Times New Roman" w:eastAsia="Times New Roman" w:hAnsi="Times New Roman" w:cs="Times New Roman"/>
          <w:sz w:val="28"/>
        </w:rPr>
        <w:t>, como ensaios, equipamento</w:t>
      </w:r>
      <w:r w:rsidR="001E6B7E">
        <w:rPr>
          <w:rFonts w:ascii="Times New Roman" w:eastAsia="Times New Roman" w:hAnsi="Times New Roman" w:cs="Times New Roman"/>
          <w:sz w:val="28"/>
        </w:rPr>
        <w:t>s, etc</w:t>
      </w:r>
      <w:r w:rsidR="00600ED6">
        <w:rPr>
          <w:rFonts w:ascii="Times New Roman" w:eastAsia="Times New Roman" w:hAnsi="Times New Roman" w:cs="Times New Roman"/>
          <w:sz w:val="28"/>
        </w:rPr>
        <w:t>.</w:t>
      </w:r>
      <w:r w:rsidR="001E6B7E">
        <w:rPr>
          <w:rFonts w:ascii="Times New Roman" w:eastAsia="Times New Roman" w:hAnsi="Times New Roman" w:cs="Times New Roman"/>
          <w:sz w:val="28"/>
        </w:rPr>
        <w:t xml:space="preserve">, deixando </w:t>
      </w:r>
      <w:r w:rsidR="00C61944">
        <w:rPr>
          <w:rFonts w:ascii="Times New Roman" w:eastAsia="Times New Roman" w:hAnsi="Times New Roman" w:cs="Times New Roman"/>
          <w:sz w:val="28"/>
        </w:rPr>
        <w:t xml:space="preserve">considerável espaço para </w:t>
      </w:r>
      <w:r w:rsidR="000D4026">
        <w:rPr>
          <w:rFonts w:ascii="Times New Roman" w:eastAsia="Times New Roman" w:hAnsi="Times New Roman" w:cs="Times New Roman"/>
          <w:sz w:val="28"/>
        </w:rPr>
        <w:t>personalização</w:t>
      </w:r>
      <w:r w:rsidR="00B2054F">
        <w:rPr>
          <w:rFonts w:ascii="Times New Roman" w:eastAsia="Times New Roman" w:hAnsi="Times New Roman" w:cs="Times New Roman"/>
          <w:sz w:val="28"/>
        </w:rPr>
        <w:t xml:space="preserve"> </w:t>
      </w:r>
      <w:r w:rsidR="00C61944">
        <w:rPr>
          <w:rFonts w:ascii="Times New Roman" w:eastAsia="Times New Roman" w:hAnsi="Times New Roman" w:cs="Times New Roman"/>
          <w:sz w:val="28"/>
        </w:rPr>
        <w:t>de</w:t>
      </w:r>
      <w:r w:rsidR="00B2054F">
        <w:rPr>
          <w:rFonts w:ascii="Times New Roman" w:eastAsia="Times New Roman" w:hAnsi="Times New Roman" w:cs="Times New Roman"/>
          <w:sz w:val="28"/>
        </w:rPr>
        <w:t xml:space="preserve"> análise do</w:t>
      </w:r>
      <w:r w:rsidR="00C620CC">
        <w:rPr>
          <w:rFonts w:ascii="Times New Roman" w:eastAsia="Times New Roman" w:hAnsi="Times New Roman" w:cs="Times New Roman"/>
          <w:sz w:val="28"/>
        </w:rPr>
        <w:t xml:space="preserve"> profissional, conforme</w:t>
      </w:r>
      <w:r w:rsidR="005C7647">
        <w:rPr>
          <w:rFonts w:ascii="Times New Roman" w:eastAsia="Times New Roman" w:hAnsi="Times New Roman" w:cs="Times New Roman"/>
          <w:sz w:val="28"/>
        </w:rPr>
        <w:t xml:space="preserve"> se depreende dos</w:t>
      </w:r>
      <w:r w:rsidR="00C620CC">
        <w:rPr>
          <w:rFonts w:ascii="Times New Roman" w:eastAsia="Times New Roman" w:hAnsi="Times New Roman" w:cs="Times New Roman"/>
          <w:sz w:val="28"/>
        </w:rPr>
        <w:t xml:space="preserve"> trecho</w:t>
      </w:r>
      <w:r w:rsidR="005C7647">
        <w:rPr>
          <w:rFonts w:ascii="Times New Roman" w:eastAsia="Times New Roman" w:hAnsi="Times New Roman" w:cs="Times New Roman"/>
          <w:sz w:val="28"/>
        </w:rPr>
        <w:t>s</w:t>
      </w:r>
      <w:r w:rsidR="00C620CC">
        <w:rPr>
          <w:rFonts w:ascii="Times New Roman" w:eastAsia="Times New Roman" w:hAnsi="Times New Roman" w:cs="Times New Roman"/>
          <w:sz w:val="28"/>
        </w:rPr>
        <w:t xml:space="preserve"> abaixo:</w:t>
      </w:r>
    </w:p>
    <w:p w:rsidR="005C7647" w:rsidRPr="00F24BE8" w:rsidRDefault="005C7647" w:rsidP="005C7647">
      <w:pPr>
        <w:spacing w:line="240" w:lineRule="auto"/>
        <w:ind w:left="2268"/>
        <w:rPr>
          <w:b/>
          <w:i/>
          <w:sz w:val="20"/>
        </w:rPr>
      </w:pPr>
      <w:r w:rsidRPr="00F24BE8">
        <w:rPr>
          <w:b/>
          <w:i/>
          <w:sz w:val="20"/>
        </w:rPr>
        <w:t>D.1.3  Inspeção</w:t>
      </w:r>
    </w:p>
    <w:p w:rsidR="005C7647" w:rsidRPr="00ED4E94" w:rsidRDefault="005C7647" w:rsidP="00B2054F">
      <w:pPr>
        <w:spacing w:line="240" w:lineRule="auto"/>
        <w:ind w:left="2268"/>
        <w:rPr>
          <w:i/>
          <w:sz w:val="20"/>
        </w:rPr>
      </w:pPr>
      <w:r w:rsidRPr="00ED4E94">
        <w:rPr>
          <w:i/>
          <w:sz w:val="20"/>
        </w:rPr>
        <w:t>Informar os dados a seguir sobre a inspeção realizada:</w:t>
      </w:r>
    </w:p>
    <w:p w:rsidR="005C7647" w:rsidRPr="00ED4E94" w:rsidRDefault="005C7647" w:rsidP="00B2054F">
      <w:pPr>
        <w:spacing w:line="240" w:lineRule="auto"/>
        <w:ind w:left="2268"/>
        <w:rPr>
          <w:i/>
          <w:sz w:val="20"/>
        </w:rPr>
      </w:pPr>
      <w:r w:rsidRPr="00ED4E94">
        <w:rPr>
          <w:i/>
          <w:sz w:val="20"/>
        </w:rPr>
        <w:t xml:space="preserve"> d)  legendas e convenções </w:t>
      </w:r>
      <w:r w:rsidRPr="0085182D">
        <w:rPr>
          <w:b/>
          <w:i/>
          <w:sz w:val="20"/>
          <w:u w:val="single"/>
        </w:rPr>
        <w:t>adotadas</w:t>
      </w:r>
      <w:r w:rsidRPr="00ED4E94">
        <w:rPr>
          <w:i/>
          <w:sz w:val="20"/>
        </w:rPr>
        <w:t>;</w:t>
      </w:r>
    </w:p>
    <w:p w:rsidR="005C7647" w:rsidRPr="00F24BE8" w:rsidRDefault="005C7647" w:rsidP="00B2054F">
      <w:pPr>
        <w:spacing w:line="240" w:lineRule="auto"/>
        <w:ind w:left="2268"/>
        <w:rPr>
          <w:b/>
          <w:i/>
          <w:sz w:val="20"/>
        </w:rPr>
      </w:pPr>
      <w:r w:rsidRPr="00F24BE8">
        <w:rPr>
          <w:b/>
          <w:i/>
          <w:sz w:val="20"/>
        </w:rPr>
        <w:t>D.1.4  Ensaios</w:t>
      </w:r>
    </w:p>
    <w:p w:rsidR="005C7647" w:rsidRPr="00ED4E94" w:rsidRDefault="005C7647" w:rsidP="00B2054F">
      <w:pPr>
        <w:spacing w:line="240" w:lineRule="auto"/>
        <w:ind w:left="2268"/>
        <w:rPr>
          <w:i/>
          <w:sz w:val="20"/>
        </w:rPr>
      </w:pPr>
      <w:r w:rsidRPr="00997D52">
        <w:rPr>
          <w:b/>
          <w:i/>
          <w:sz w:val="20"/>
          <w:u w:val="single"/>
        </w:rPr>
        <w:t>Sempre que forem realizados ensaios</w:t>
      </w:r>
      <w:r w:rsidRPr="00ED4E94">
        <w:rPr>
          <w:i/>
          <w:sz w:val="20"/>
        </w:rPr>
        <w:t>, registrar as informações a seguir:</w:t>
      </w:r>
    </w:p>
    <w:p w:rsidR="005C7647" w:rsidRPr="00ED4E94" w:rsidRDefault="005C7647" w:rsidP="00B2054F">
      <w:pPr>
        <w:spacing w:line="240" w:lineRule="auto"/>
        <w:ind w:left="2268"/>
        <w:rPr>
          <w:i/>
          <w:sz w:val="20"/>
        </w:rPr>
      </w:pPr>
      <w:r w:rsidRPr="00ED4E94">
        <w:rPr>
          <w:i/>
          <w:sz w:val="20"/>
        </w:rPr>
        <w:t xml:space="preserve">b) </w:t>
      </w:r>
      <w:r w:rsidRPr="00997D52">
        <w:rPr>
          <w:b/>
          <w:i/>
          <w:sz w:val="20"/>
          <w:u w:val="single"/>
        </w:rPr>
        <w:t>resultados com interpretação</w:t>
      </w:r>
      <w:r w:rsidRPr="00ED4E94">
        <w:rPr>
          <w:i/>
          <w:sz w:val="20"/>
        </w:rPr>
        <w:t>; </w:t>
      </w:r>
    </w:p>
    <w:p w:rsidR="005C7647" w:rsidRPr="00997D52" w:rsidRDefault="005C7647" w:rsidP="005C7647">
      <w:pPr>
        <w:spacing w:line="240" w:lineRule="auto"/>
        <w:ind w:left="2268"/>
        <w:rPr>
          <w:b/>
          <w:i/>
          <w:sz w:val="20"/>
          <w:u w:val="single"/>
        </w:rPr>
      </w:pPr>
      <w:r w:rsidRPr="00997D52">
        <w:rPr>
          <w:b/>
          <w:i/>
          <w:sz w:val="20"/>
          <w:u w:val="single"/>
        </w:rPr>
        <w:t>Para referência das anomalias possíveis, ver A.3.</w:t>
      </w:r>
    </w:p>
    <w:p w:rsidR="005C7647" w:rsidRPr="00F24BE8" w:rsidRDefault="005C7647" w:rsidP="005C7647">
      <w:pPr>
        <w:spacing w:line="240" w:lineRule="auto"/>
        <w:ind w:left="2268"/>
        <w:rPr>
          <w:b/>
          <w:i/>
          <w:sz w:val="20"/>
        </w:rPr>
      </w:pPr>
      <w:r w:rsidRPr="00F24BE8">
        <w:rPr>
          <w:b/>
          <w:i/>
          <w:sz w:val="20"/>
        </w:rPr>
        <w:t>D.2  Relatório II - Terapia e projeto de reparos</w:t>
      </w:r>
    </w:p>
    <w:p w:rsidR="005C7647" w:rsidRDefault="005C7647" w:rsidP="005C7647">
      <w:pPr>
        <w:spacing w:line="240" w:lineRule="auto"/>
        <w:ind w:left="2268"/>
        <w:rPr>
          <w:i/>
          <w:sz w:val="20"/>
        </w:rPr>
      </w:pPr>
      <w:r w:rsidRPr="00ED4E94">
        <w:rPr>
          <w:i/>
          <w:sz w:val="20"/>
        </w:rPr>
        <w:t>O Relatório II, de terapia e projetos de reparos, deve conter no mínimo o seguinte: </w:t>
      </w:r>
    </w:p>
    <w:p w:rsidR="00DB17C8" w:rsidRPr="00ED4E94" w:rsidRDefault="00DB17C8" w:rsidP="005C7647">
      <w:pPr>
        <w:spacing w:line="240" w:lineRule="auto"/>
        <w:ind w:left="2268"/>
        <w:rPr>
          <w:i/>
          <w:sz w:val="20"/>
        </w:rPr>
      </w:pPr>
    </w:p>
    <w:p w:rsidR="005C7647" w:rsidRPr="00DB17C8" w:rsidRDefault="005C7647" w:rsidP="00DB17C8">
      <w:pPr>
        <w:pStyle w:val="PargrafodaLista"/>
        <w:numPr>
          <w:ilvl w:val="0"/>
          <w:numId w:val="31"/>
        </w:numPr>
        <w:spacing w:before="0" w:after="200" w:line="240" w:lineRule="auto"/>
        <w:ind w:left="2268"/>
        <w:rPr>
          <w:i/>
          <w:sz w:val="20"/>
        </w:rPr>
      </w:pPr>
      <w:r w:rsidRPr="00997D52">
        <w:rPr>
          <w:b/>
          <w:i/>
          <w:sz w:val="20"/>
          <w:u w:val="single"/>
        </w:rPr>
        <w:t>diagnóstico:  análise  de  cada  anomalia,  identificando  sua  provável  origem</w:t>
      </w:r>
      <w:r w:rsidRPr="00ED4E94">
        <w:rPr>
          <w:i/>
          <w:sz w:val="20"/>
        </w:rPr>
        <w:t xml:space="preserve">  (como  falhas  de  execução,  desgastes  decorrentes  do  uso),  </w:t>
      </w:r>
      <w:r w:rsidRPr="00997D52">
        <w:rPr>
          <w:b/>
          <w:i/>
          <w:sz w:val="20"/>
          <w:u w:val="single"/>
        </w:rPr>
        <w:t>procedendo  a  uma  análise  crítica  da  estrutura  de forma a obter-se um diagnóstico final</w:t>
      </w:r>
      <w:r w:rsidRPr="00ED4E94">
        <w:rPr>
          <w:i/>
          <w:sz w:val="20"/>
        </w:rPr>
        <w:t>;</w:t>
      </w:r>
      <w:r w:rsidRPr="00DB17C8">
        <w:rPr>
          <w:i/>
          <w:sz w:val="20"/>
        </w:rPr>
        <w:t>.</w:t>
      </w:r>
    </w:p>
    <w:p w:rsidR="005C7647" w:rsidRPr="00F24BE8" w:rsidRDefault="005C7647" w:rsidP="005C7647">
      <w:pPr>
        <w:pStyle w:val="PargrafodaLista"/>
        <w:spacing w:line="240" w:lineRule="auto"/>
        <w:ind w:left="2268"/>
        <w:rPr>
          <w:sz w:val="20"/>
        </w:rPr>
      </w:pPr>
    </w:p>
    <w:p w:rsidR="005C7647" w:rsidRPr="00F24BE8" w:rsidRDefault="005C7647" w:rsidP="005C7647">
      <w:pPr>
        <w:pStyle w:val="PargrafodaLista"/>
        <w:numPr>
          <w:ilvl w:val="0"/>
          <w:numId w:val="31"/>
        </w:numPr>
        <w:shd w:val="clear" w:color="auto" w:fill="FFFFFF"/>
        <w:spacing w:before="0" w:line="0" w:lineRule="auto"/>
        <w:rPr>
          <w:rFonts w:ascii="ff4" w:eastAsia="Times New Roman" w:hAnsi="ff4" w:cs="Times New Roman"/>
          <w:color w:val="231F20"/>
          <w:sz w:val="78"/>
          <w:szCs w:val="78"/>
        </w:rPr>
      </w:pPr>
      <w:r w:rsidRPr="00F24BE8">
        <w:rPr>
          <w:rFonts w:ascii="ff4" w:eastAsia="Times New Roman" w:hAnsi="ff4" w:cs="Times New Roman"/>
          <w:color w:val="231F20"/>
          <w:sz w:val="78"/>
          <w:szCs w:val="78"/>
        </w:rPr>
        <w:t xml:space="preserve">D.3 </w:t>
      </w:r>
      <w:r w:rsidRPr="00F24BE8">
        <w:rPr>
          <w:rFonts w:ascii="ff4" w:eastAsia="Times New Roman" w:hAnsi="ff4" w:cs="Times New Roman"/>
          <w:color w:val="231F20"/>
          <w:sz w:val="78"/>
          <w:szCs w:val="78"/>
          <w:bdr w:val="none" w:sz="0" w:space="0" w:color="auto" w:frame="1"/>
        </w:rPr>
        <w:t xml:space="preserve"> </w:t>
      </w:r>
      <w:r w:rsidRPr="00F24BE8">
        <w:rPr>
          <w:rFonts w:ascii="ff5" w:eastAsia="Times New Roman" w:hAnsi="ff5" w:cs="Times New Roman"/>
          <w:color w:val="231F20"/>
          <w:sz w:val="78"/>
          <w:szCs w:val="78"/>
          <w:bdr w:val="none" w:sz="0" w:space="0" w:color="auto" w:frame="1"/>
        </w:rPr>
        <w:t>Relatórios técnicos complementares</w:t>
      </w:r>
    </w:p>
    <w:p w:rsidR="005C7647" w:rsidRDefault="005C7647" w:rsidP="005C7647">
      <w:pPr>
        <w:pStyle w:val="PargrafodaLista"/>
        <w:spacing w:line="240" w:lineRule="auto"/>
        <w:ind w:left="2268"/>
        <w:rPr>
          <w:b/>
          <w:i/>
          <w:sz w:val="20"/>
        </w:rPr>
      </w:pPr>
      <w:r w:rsidRPr="00093B7C">
        <w:rPr>
          <w:b/>
          <w:i/>
          <w:sz w:val="20"/>
        </w:rPr>
        <w:t xml:space="preserve">A  inspeção  especial  deve  apontar  a  necessidade  de  relatórios  técnicos  complementares  por  especialista,  bem  como  as  </w:t>
      </w:r>
      <w:r w:rsidRPr="00093B7C">
        <w:rPr>
          <w:b/>
          <w:i/>
          <w:sz w:val="20"/>
        </w:rPr>
        <w:lastRenderedPageBreak/>
        <w:t>justificativas  para  tais  serviços.  Esses  relatórios  complementares podem conter:</w:t>
      </w:r>
    </w:p>
    <w:p w:rsidR="005C7647" w:rsidRPr="00093B7C" w:rsidRDefault="005C7647" w:rsidP="005C7647">
      <w:pPr>
        <w:pStyle w:val="PargrafodaLista"/>
        <w:spacing w:line="240" w:lineRule="auto"/>
        <w:ind w:left="2268"/>
        <w:rPr>
          <w:b/>
          <w:i/>
          <w:sz w:val="20"/>
        </w:rPr>
      </w:pPr>
    </w:p>
    <w:p w:rsidR="005C7647" w:rsidRPr="00ED4E94" w:rsidRDefault="005C7647" w:rsidP="005C7647">
      <w:pPr>
        <w:pStyle w:val="PargrafodaLista"/>
        <w:spacing w:line="240" w:lineRule="auto"/>
        <w:ind w:left="2268"/>
        <w:rPr>
          <w:i/>
          <w:sz w:val="20"/>
        </w:rPr>
      </w:pPr>
      <w:r w:rsidRPr="00ED4E94">
        <w:rPr>
          <w:i/>
          <w:sz w:val="20"/>
        </w:rPr>
        <w:t>a)  análises estruturais com memória de cálculo;</w:t>
      </w:r>
    </w:p>
    <w:p w:rsidR="005C7647" w:rsidRPr="00ED4E94" w:rsidRDefault="005C7647" w:rsidP="005C7647">
      <w:pPr>
        <w:pStyle w:val="PargrafodaLista"/>
        <w:spacing w:line="240" w:lineRule="auto"/>
        <w:ind w:left="2268"/>
        <w:rPr>
          <w:i/>
          <w:sz w:val="20"/>
        </w:rPr>
      </w:pPr>
      <w:r w:rsidRPr="00ED4E94">
        <w:rPr>
          <w:i/>
          <w:sz w:val="20"/>
        </w:rPr>
        <w:t>b)  estudos hidráulico-hidrológicos;</w:t>
      </w:r>
    </w:p>
    <w:p w:rsidR="005C7647" w:rsidRPr="00ED4E94" w:rsidRDefault="005C7647" w:rsidP="005C7647">
      <w:pPr>
        <w:pStyle w:val="PargrafodaLista"/>
        <w:spacing w:line="240" w:lineRule="auto"/>
        <w:ind w:left="2268"/>
        <w:rPr>
          <w:i/>
          <w:sz w:val="20"/>
        </w:rPr>
      </w:pPr>
      <w:r w:rsidRPr="00ED4E94">
        <w:rPr>
          <w:i/>
          <w:sz w:val="20"/>
        </w:rPr>
        <w:t>c)  estudos geotécnicos;</w:t>
      </w:r>
    </w:p>
    <w:p w:rsidR="005C7647" w:rsidRPr="00ED4E94" w:rsidRDefault="005C7647" w:rsidP="005C7647">
      <w:pPr>
        <w:pStyle w:val="PargrafodaLista"/>
        <w:spacing w:line="240" w:lineRule="auto"/>
        <w:ind w:left="2268"/>
        <w:rPr>
          <w:i/>
          <w:sz w:val="20"/>
        </w:rPr>
      </w:pPr>
      <w:r w:rsidRPr="00ED4E94">
        <w:rPr>
          <w:i/>
          <w:sz w:val="20"/>
        </w:rPr>
        <w:t>d)  ensaios tecnológicos;</w:t>
      </w:r>
    </w:p>
    <w:p w:rsidR="005C7647" w:rsidRPr="00ED4E94" w:rsidRDefault="005C7647" w:rsidP="005C7647">
      <w:pPr>
        <w:pStyle w:val="PargrafodaLista"/>
        <w:spacing w:line="240" w:lineRule="auto"/>
        <w:ind w:left="2268"/>
        <w:rPr>
          <w:i/>
          <w:sz w:val="20"/>
        </w:rPr>
      </w:pPr>
      <w:r w:rsidRPr="00ED4E94">
        <w:rPr>
          <w:i/>
          <w:sz w:val="20"/>
        </w:rPr>
        <w:t xml:space="preserve">e)  </w:t>
      </w:r>
      <w:r>
        <w:rPr>
          <w:i/>
          <w:sz w:val="20"/>
        </w:rPr>
        <w:t>instrumentações específi</w:t>
      </w:r>
      <w:r w:rsidRPr="00ED4E94">
        <w:rPr>
          <w:i/>
          <w:sz w:val="20"/>
        </w:rPr>
        <w:t>cas para monitoramento da estrutura;</w:t>
      </w:r>
    </w:p>
    <w:p w:rsidR="005C7647" w:rsidRPr="00ED4E94" w:rsidRDefault="005C7647" w:rsidP="005C7647">
      <w:pPr>
        <w:pStyle w:val="PargrafodaLista"/>
        <w:spacing w:line="240" w:lineRule="auto"/>
        <w:ind w:left="2268"/>
        <w:rPr>
          <w:i/>
          <w:sz w:val="20"/>
        </w:rPr>
      </w:pPr>
      <w:r w:rsidRPr="00ED4E94">
        <w:rPr>
          <w:i/>
          <w:sz w:val="20"/>
        </w:rPr>
        <w:t>f)  provas de carga estáticas ou dinâmicas;</w:t>
      </w:r>
    </w:p>
    <w:p w:rsidR="005C7647" w:rsidRPr="00ED4E94" w:rsidRDefault="005C7647" w:rsidP="005C7647">
      <w:pPr>
        <w:pStyle w:val="PargrafodaLista"/>
        <w:spacing w:line="240" w:lineRule="auto"/>
        <w:ind w:left="2268"/>
        <w:rPr>
          <w:i/>
          <w:sz w:val="20"/>
        </w:rPr>
      </w:pPr>
      <w:r w:rsidRPr="00ED4E94">
        <w:rPr>
          <w:i/>
          <w:sz w:val="20"/>
        </w:rPr>
        <w:t>g)  outros estudos de interesse;</w:t>
      </w:r>
    </w:p>
    <w:p w:rsidR="005C7647" w:rsidRDefault="005C7647" w:rsidP="005C7647">
      <w:pPr>
        <w:pStyle w:val="PargrafodaLista"/>
        <w:spacing w:line="240" w:lineRule="auto"/>
        <w:ind w:left="2268"/>
        <w:rPr>
          <w:i/>
          <w:sz w:val="20"/>
        </w:rPr>
      </w:pPr>
      <w:r w:rsidRPr="00ED4E94">
        <w:rPr>
          <w:i/>
          <w:sz w:val="20"/>
        </w:rPr>
        <w:t>h)  conclusões e recomendações.</w:t>
      </w:r>
    </w:p>
    <w:p w:rsidR="0005755D" w:rsidRDefault="0005755D" w:rsidP="006E125D">
      <w:pPr>
        <w:spacing w:before="0" w:line="276" w:lineRule="auto"/>
        <w:ind w:left="142" w:firstLine="1559"/>
        <w:jc w:val="both"/>
        <w:rPr>
          <w:rFonts w:ascii="Times New Roman" w:eastAsia="Times New Roman" w:hAnsi="Times New Roman" w:cs="Times New Roman"/>
          <w:sz w:val="28"/>
        </w:rPr>
      </w:pPr>
    </w:p>
    <w:p w:rsidR="0005755D" w:rsidRDefault="0005755D" w:rsidP="0005755D">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Confrontando as justificativas acima mencionadas com os argumentos da Auditoria de que </w:t>
      </w:r>
      <w:r w:rsidRPr="003457B8">
        <w:rPr>
          <w:rFonts w:ascii="Times New Roman" w:eastAsia="Times New Roman" w:hAnsi="Times New Roman" w:cs="Times New Roman"/>
          <w:sz w:val="28"/>
        </w:rPr>
        <w:t xml:space="preserve">todo o procedimento já se encontra </w:t>
      </w:r>
      <w:r w:rsidR="000D4026">
        <w:rPr>
          <w:rFonts w:ascii="Times New Roman" w:eastAsia="Times New Roman" w:hAnsi="Times New Roman" w:cs="Times New Roman"/>
          <w:sz w:val="28"/>
        </w:rPr>
        <w:t xml:space="preserve">suficientemente </w:t>
      </w:r>
      <w:r w:rsidRPr="003457B8">
        <w:rPr>
          <w:rFonts w:ascii="Times New Roman" w:eastAsia="Times New Roman" w:hAnsi="Times New Roman" w:cs="Times New Roman"/>
          <w:sz w:val="28"/>
        </w:rPr>
        <w:t>normatizado pela</w:t>
      </w:r>
      <w:r>
        <w:rPr>
          <w:rFonts w:ascii="Times New Roman" w:eastAsia="Times New Roman" w:hAnsi="Times New Roman" w:cs="Times New Roman"/>
          <w:sz w:val="28"/>
        </w:rPr>
        <w:t xml:space="preserve"> referida </w:t>
      </w:r>
      <w:r w:rsidRPr="003457B8">
        <w:rPr>
          <w:rFonts w:ascii="Times New Roman" w:eastAsia="Times New Roman" w:hAnsi="Times New Roman" w:cs="Times New Roman"/>
          <w:b/>
          <w:sz w:val="28"/>
        </w:rPr>
        <w:t>NBR 9452/2016</w:t>
      </w:r>
      <w:r w:rsidRPr="003457B8">
        <w:rPr>
          <w:rFonts w:ascii="Times New Roman" w:eastAsia="Times New Roman" w:hAnsi="Times New Roman" w:cs="Times New Roman"/>
          <w:sz w:val="28"/>
        </w:rPr>
        <w:t xml:space="preserve">, entendo que </w:t>
      </w:r>
      <w:r>
        <w:rPr>
          <w:rFonts w:ascii="Times New Roman" w:eastAsia="Times New Roman" w:hAnsi="Times New Roman" w:cs="Times New Roman"/>
          <w:sz w:val="28"/>
        </w:rPr>
        <w:t xml:space="preserve">o objeto a ser </w:t>
      </w:r>
      <w:r w:rsidRPr="00835806">
        <w:rPr>
          <w:rFonts w:ascii="Times New Roman" w:eastAsia="Times New Roman" w:hAnsi="Times New Roman" w:cs="Times New Roman"/>
          <w:sz w:val="28"/>
        </w:rPr>
        <w:t>licitado</w:t>
      </w:r>
      <w:r>
        <w:rPr>
          <w:rFonts w:ascii="Times New Roman" w:eastAsia="Times New Roman" w:hAnsi="Times New Roman" w:cs="Times New Roman"/>
          <w:sz w:val="28"/>
        </w:rPr>
        <w:t xml:space="preserve"> evidencia, de fato, </w:t>
      </w:r>
      <w:r w:rsidRPr="00835806">
        <w:rPr>
          <w:rFonts w:ascii="Times New Roman" w:eastAsia="Times New Roman" w:hAnsi="Times New Roman" w:cs="Times New Roman"/>
          <w:sz w:val="28"/>
        </w:rPr>
        <w:t>expertise capaz</w:t>
      </w:r>
      <w:r>
        <w:rPr>
          <w:rFonts w:ascii="Times New Roman" w:eastAsia="Times New Roman" w:hAnsi="Times New Roman" w:cs="Times New Roman"/>
          <w:sz w:val="28"/>
        </w:rPr>
        <w:t xml:space="preserve"> de justificar a escolha da Origem. </w:t>
      </w:r>
      <w:r w:rsidRPr="00835806">
        <w:rPr>
          <w:rFonts w:ascii="Times New Roman" w:eastAsia="Times New Roman" w:hAnsi="Times New Roman" w:cs="Times New Roman"/>
          <w:sz w:val="28"/>
        </w:rPr>
        <w:t xml:space="preserve"> </w:t>
      </w:r>
    </w:p>
    <w:p w:rsidR="0005755D" w:rsidRDefault="0005755D" w:rsidP="006E125D">
      <w:pPr>
        <w:spacing w:before="0" w:line="276" w:lineRule="auto"/>
        <w:ind w:left="142" w:firstLine="1559"/>
        <w:jc w:val="both"/>
        <w:rPr>
          <w:rFonts w:ascii="Times New Roman" w:eastAsia="Times New Roman" w:hAnsi="Times New Roman" w:cs="Times New Roman"/>
          <w:sz w:val="28"/>
        </w:rPr>
      </w:pPr>
    </w:p>
    <w:p w:rsidR="006E125D" w:rsidRDefault="006E125D" w:rsidP="006E125D">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Inegável, pois, que</w:t>
      </w:r>
      <w:r w:rsidR="003457B8" w:rsidRPr="003457B8">
        <w:rPr>
          <w:rFonts w:ascii="Times New Roman" w:eastAsia="Times New Roman" w:hAnsi="Times New Roman" w:cs="Times New Roman"/>
          <w:sz w:val="28"/>
        </w:rPr>
        <w:t xml:space="preserve"> as necessidades</w:t>
      </w:r>
      <w:r w:rsidR="003457B8">
        <w:rPr>
          <w:rFonts w:ascii="Times New Roman" w:eastAsia="Times New Roman" w:hAnsi="Times New Roman" w:cs="Times New Roman"/>
          <w:sz w:val="28"/>
        </w:rPr>
        <w:t xml:space="preserve"> e soluções</w:t>
      </w:r>
      <w:r w:rsidR="00C32DAC">
        <w:rPr>
          <w:rFonts w:ascii="Times New Roman" w:eastAsia="Times New Roman" w:hAnsi="Times New Roman" w:cs="Times New Roman"/>
          <w:sz w:val="28"/>
        </w:rPr>
        <w:t xml:space="preserve"> sugeridas</w:t>
      </w:r>
      <w:r w:rsidR="003457B8">
        <w:rPr>
          <w:rFonts w:ascii="Times New Roman" w:eastAsia="Times New Roman" w:hAnsi="Times New Roman" w:cs="Times New Roman"/>
          <w:sz w:val="28"/>
        </w:rPr>
        <w:t xml:space="preserve"> dependerão</w:t>
      </w:r>
      <w:r w:rsidR="00C32DAC">
        <w:rPr>
          <w:rFonts w:ascii="Times New Roman" w:eastAsia="Times New Roman" w:hAnsi="Times New Roman" w:cs="Times New Roman"/>
          <w:sz w:val="28"/>
        </w:rPr>
        <w:t xml:space="preserve"> </w:t>
      </w:r>
      <w:r w:rsidR="000D4026">
        <w:rPr>
          <w:rFonts w:ascii="Times New Roman" w:eastAsia="Times New Roman" w:hAnsi="Times New Roman" w:cs="Times New Roman"/>
          <w:sz w:val="28"/>
        </w:rPr>
        <w:t xml:space="preserve">da visão e </w:t>
      </w:r>
      <w:r w:rsidR="00C32DAC">
        <w:rPr>
          <w:rFonts w:ascii="Times New Roman" w:eastAsia="Times New Roman" w:hAnsi="Times New Roman" w:cs="Times New Roman"/>
          <w:sz w:val="28"/>
        </w:rPr>
        <w:t>da expertise do</w:t>
      </w:r>
      <w:r w:rsidR="003457B8" w:rsidRPr="003457B8">
        <w:rPr>
          <w:rFonts w:ascii="Times New Roman" w:eastAsia="Times New Roman" w:hAnsi="Times New Roman" w:cs="Times New Roman"/>
          <w:sz w:val="28"/>
        </w:rPr>
        <w:t xml:space="preserve"> profissional </w:t>
      </w:r>
      <w:r w:rsidR="00C32DAC">
        <w:rPr>
          <w:rFonts w:ascii="Times New Roman" w:eastAsia="Times New Roman" w:hAnsi="Times New Roman" w:cs="Times New Roman"/>
          <w:sz w:val="28"/>
        </w:rPr>
        <w:t>a ser contratado</w:t>
      </w:r>
      <w:r>
        <w:rPr>
          <w:rFonts w:ascii="Times New Roman" w:eastAsia="Times New Roman" w:hAnsi="Times New Roman" w:cs="Times New Roman"/>
          <w:sz w:val="28"/>
        </w:rPr>
        <w:t xml:space="preserve"> para realizar as inspeções</w:t>
      </w:r>
      <w:r w:rsidR="003457B8" w:rsidRPr="003457B8">
        <w:rPr>
          <w:rFonts w:ascii="Times New Roman" w:eastAsia="Times New Roman" w:hAnsi="Times New Roman" w:cs="Times New Roman"/>
          <w:sz w:val="28"/>
        </w:rPr>
        <w:t>.</w:t>
      </w:r>
      <w:r w:rsidR="002A3F34">
        <w:rPr>
          <w:rFonts w:ascii="Times New Roman" w:eastAsia="Times New Roman" w:hAnsi="Times New Roman" w:cs="Times New Roman"/>
          <w:sz w:val="28"/>
        </w:rPr>
        <w:t xml:space="preserve"> </w:t>
      </w:r>
      <w:r>
        <w:rPr>
          <w:rFonts w:ascii="Times New Roman" w:eastAsia="Times New Roman" w:hAnsi="Times New Roman" w:cs="Times New Roman"/>
          <w:sz w:val="28"/>
        </w:rPr>
        <w:t>O</w:t>
      </w:r>
      <w:r w:rsidR="003457B8" w:rsidRPr="003457B8">
        <w:rPr>
          <w:rFonts w:ascii="Times New Roman" w:eastAsia="Times New Roman" w:hAnsi="Times New Roman" w:cs="Times New Roman"/>
          <w:sz w:val="28"/>
        </w:rPr>
        <w:t xml:space="preserve"> objetivo da Norma</w:t>
      </w:r>
      <w:r>
        <w:rPr>
          <w:rFonts w:ascii="Times New Roman" w:eastAsia="Times New Roman" w:hAnsi="Times New Roman" w:cs="Times New Roman"/>
          <w:sz w:val="28"/>
        </w:rPr>
        <w:t>, portanto,</w:t>
      </w:r>
      <w:r w:rsidR="003457B8" w:rsidRPr="003457B8">
        <w:rPr>
          <w:rFonts w:ascii="Times New Roman" w:eastAsia="Times New Roman" w:hAnsi="Times New Roman" w:cs="Times New Roman"/>
          <w:sz w:val="28"/>
        </w:rPr>
        <w:t xml:space="preserve"> é padronizar</w:t>
      </w:r>
      <w:r w:rsidR="000D4026">
        <w:rPr>
          <w:rFonts w:ascii="Times New Roman" w:eastAsia="Times New Roman" w:hAnsi="Times New Roman" w:cs="Times New Roman"/>
          <w:sz w:val="28"/>
        </w:rPr>
        <w:t>,</w:t>
      </w:r>
      <w:r w:rsidR="003457B8" w:rsidRPr="003457B8">
        <w:rPr>
          <w:rFonts w:ascii="Times New Roman" w:eastAsia="Times New Roman" w:hAnsi="Times New Roman" w:cs="Times New Roman"/>
          <w:sz w:val="28"/>
        </w:rPr>
        <w:t xml:space="preserve"> </w:t>
      </w:r>
      <w:r w:rsidR="00C61944">
        <w:rPr>
          <w:rFonts w:ascii="Times New Roman" w:eastAsia="Times New Roman" w:hAnsi="Times New Roman" w:cs="Times New Roman"/>
          <w:sz w:val="28"/>
        </w:rPr>
        <w:t>com uma espécie de</w:t>
      </w:r>
      <w:r w:rsidR="0005755D">
        <w:rPr>
          <w:rFonts w:ascii="Times New Roman" w:eastAsia="Times New Roman" w:hAnsi="Times New Roman" w:cs="Times New Roman"/>
          <w:sz w:val="28"/>
        </w:rPr>
        <w:t xml:space="preserve"> protocolo</w:t>
      </w:r>
      <w:r w:rsidR="000D4026">
        <w:rPr>
          <w:rFonts w:ascii="Times New Roman" w:eastAsia="Times New Roman" w:hAnsi="Times New Roman" w:cs="Times New Roman"/>
          <w:sz w:val="28"/>
        </w:rPr>
        <w:t>,</w:t>
      </w:r>
      <w:r w:rsidR="00C61944">
        <w:rPr>
          <w:rFonts w:ascii="Times New Roman" w:eastAsia="Times New Roman" w:hAnsi="Times New Roman" w:cs="Times New Roman"/>
          <w:sz w:val="28"/>
        </w:rPr>
        <w:t xml:space="preserve"> </w:t>
      </w:r>
      <w:r w:rsidR="003457B8" w:rsidRPr="003457B8">
        <w:rPr>
          <w:rFonts w:ascii="Times New Roman" w:eastAsia="Times New Roman" w:hAnsi="Times New Roman" w:cs="Times New Roman"/>
          <w:sz w:val="28"/>
        </w:rPr>
        <w:t xml:space="preserve">os relatórios de inspeção e os procedimentos </w:t>
      </w:r>
      <w:r w:rsidR="000D4026">
        <w:rPr>
          <w:rFonts w:ascii="Times New Roman" w:eastAsia="Times New Roman" w:hAnsi="Times New Roman" w:cs="Times New Roman"/>
          <w:sz w:val="28"/>
        </w:rPr>
        <w:t xml:space="preserve">básicos </w:t>
      </w:r>
      <w:r w:rsidR="003457B8" w:rsidRPr="003457B8">
        <w:rPr>
          <w:rFonts w:ascii="Times New Roman" w:eastAsia="Times New Roman" w:hAnsi="Times New Roman" w:cs="Times New Roman"/>
          <w:sz w:val="28"/>
        </w:rPr>
        <w:t>utilizados, não fixando</w:t>
      </w:r>
      <w:r w:rsidR="00C32DAC">
        <w:rPr>
          <w:rFonts w:ascii="Times New Roman" w:eastAsia="Times New Roman" w:hAnsi="Times New Roman" w:cs="Times New Roman"/>
          <w:sz w:val="28"/>
        </w:rPr>
        <w:t>, até porque impossível,</w:t>
      </w:r>
      <w:r w:rsidR="003457B8" w:rsidRPr="003457B8">
        <w:rPr>
          <w:rFonts w:ascii="Times New Roman" w:eastAsia="Times New Roman" w:hAnsi="Times New Roman" w:cs="Times New Roman"/>
          <w:sz w:val="28"/>
        </w:rPr>
        <w:t xml:space="preserve"> os resultados </w:t>
      </w:r>
      <w:r w:rsidR="00C32DAC">
        <w:rPr>
          <w:rFonts w:ascii="Times New Roman" w:eastAsia="Times New Roman" w:hAnsi="Times New Roman" w:cs="Times New Roman"/>
          <w:sz w:val="28"/>
        </w:rPr>
        <w:t>a serem alcançados, próprios da</w:t>
      </w:r>
      <w:r w:rsidR="003457B8" w:rsidRPr="003457B8">
        <w:rPr>
          <w:rFonts w:ascii="Times New Roman" w:eastAsia="Times New Roman" w:hAnsi="Times New Roman" w:cs="Times New Roman"/>
          <w:sz w:val="28"/>
        </w:rPr>
        <w:t xml:space="preserve"> </w:t>
      </w:r>
      <w:r w:rsidR="00C32DAC">
        <w:rPr>
          <w:rFonts w:ascii="Times New Roman" w:eastAsia="Times New Roman" w:hAnsi="Times New Roman" w:cs="Times New Roman"/>
          <w:sz w:val="28"/>
        </w:rPr>
        <w:t xml:space="preserve">experiência e técnica </w:t>
      </w:r>
      <w:r w:rsidR="003457B8" w:rsidRPr="003457B8">
        <w:rPr>
          <w:rFonts w:ascii="Times New Roman" w:eastAsia="Times New Roman" w:hAnsi="Times New Roman" w:cs="Times New Roman"/>
          <w:sz w:val="28"/>
        </w:rPr>
        <w:t>do profissional.</w:t>
      </w:r>
      <w:r>
        <w:rPr>
          <w:rFonts w:ascii="Times New Roman" w:eastAsia="Times New Roman" w:hAnsi="Times New Roman" w:cs="Times New Roman"/>
          <w:sz w:val="28"/>
        </w:rPr>
        <w:t xml:space="preserve"> </w:t>
      </w:r>
    </w:p>
    <w:p w:rsidR="006E125D" w:rsidRDefault="006E125D" w:rsidP="006E125D">
      <w:pPr>
        <w:spacing w:before="0" w:line="276" w:lineRule="auto"/>
        <w:ind w:left="142" w:firstLine="1559"/>
        <w:jc w:val="both"/>
        <w:rPr>
          <w:rFonts w:ascii="Times New Roman" w:eastAsia="Times New Roman" w:hAnsi="Times New Roman" w:cs="Times New Roman"/>
          <w:sz w:val="28"/>
        </w:rPr>
      </w:pPr>
    </w:p>
    <w:p w:rsidR="003457B8" w:rsidRPr="003457B8" w:rsidRDefault="00C32DAC" w:rsidP="006E125D">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Corroborando esse entendimento, destaco brev</w:t>
      </w:r>
      <w:r w:rsidR="00ED15DC">
        <w:rPr>
          <w:rFonts w:ascii="Times New Roman" w:eastAsia="Times New Roman" w:hAnsi="Times New Roman" w:cs="Times New Roman"/>
          <w:sz w:val="28"/>
        </w:rPr>
        <w:t>e trecho de estudo publicado pelo Eng.</w:t>
      </w:r>
      <w:r>
        <w:rPr>
          <w:rFonts w:ascii="Times New Roman" w:eastAsia="Times New Roman" w:hAnsi="Times New Roman" w:cs="Times New Roman"/>
          <w:sz w:val="28"/>
        </w:rPr>
        <w:t xml:space="preserve"> </w:t>
      </w:r>
      <w:r w:rsidR="00C3325C">
        <w:rPr>
          <w:rFonts w:ascii="Times New Roman" w:eastAsia="Times New Roman" w:hAnsi="Times New Roman" w:cs="Times New Roman"/>
          <w:sz w:val="28"/>
        </w:rPr>
        <w:t>Ciro José Ribeiro Villela Araú</w:t>
      </w:r>
      <w:r w:rsidRPr="00C32DAC">
        <w:rPr>
          <w:rFonts w:ascii="Times New Roman" w:eastAsia="Times New Roman" w:hAnsi="Times New Roman" w:cs="Times New Roman"/>
          <w:sz w:val="28"/>
        </w:rPr>
        <w:t>jo</w:t>
      </w:r>
      <w:r w:rsidR="00906A03">
        <w:rPr>
          <w:rFonts w:ascii="Times New Roman" w:eastAsia="Times New Roman" w:hAnsi="Times New Roman" w:cs="Times New Roman"/>
          <w:sz w:val="28"/>
        </w:rPr>
        <w:t xml:space="preserve">, pesquisador responsável pela </w:t>
      </w:r>
      <w:r w:rsidR="00906A03" w:rsidRPr="00906A03">
        <w:rPr>
          <w:rFonts w:ascii="Times New Roman" w:eastAsia="Times New Roman" w:hAnsi="Times New Roman" w:cs="Times New Roman"/>
          <w:sz w:val="28"/>
        </w:rPr>
        <w:t>seção de engenharia e estruturas do IPT,</w:t>
      </w:r>
      <w:r w:rsidRPr="00C32DAC">
        <w:rPr>
          <w:rFonts w:ascii="Times New Roman" w:eastAsia="Times New Roman" w:hAnsi="Times New Roman" w:cs="Times New Roman"/>
          <w:sz w:val="28"/>
        </w:rPr>
        <w:t xml:space="preserve"> que ressalta</w:t>
      </w:r>
      <w:r w:rsidR="007D6724">
        <w:rPr>
          <w:rFonts w:ascii="Times New Roman" w:eastAsia="Times New Roman" w:hAnsi="Times New Roman" w:cs="Times New Roman"/>
          <w:sz w:val="28"/>
        </w:rPr>
        <w:t xml:space="preserve"> as</w:t>
      </w:r>
      <w:r w:rsidR="003457B8" w:rsidRPr="003457B8">
        <w:rPr>
          <w:rFonts w:ascii="Times New Roman" w:eastAsia="Times New Roman" w:hAnsi="Times New Roman" w:cs="Times New Roman"/>
          <w:sz w:val="28"/>
        </w:rPr>
        <w:t xml:space="preserve"> dificuldades das condições de acesso </w:t>
      </w:r>
      <w:r w:rsidR="00C61944">
        <w:rPr>
          <w:rFonts w:ascii="Times New Roman" w:eastAsia="Times New Roman" w:hAnsi="Times New Roman" w:cs="Times New Roman"/>
          <w:sz w:val="28"/>
        </w:rPr>
        <w:t>para as</w:t>
      </w:r>
      <w:r>
        <w:rPr>
          <w:rFonts w:ascii="Times New Roman" w:eastAsia="Times New Roman" w:hAnsi="Times New Roman" w:cs="Times New Roman"/>
          <w:sz w:val="28"/>
        </w:rPr>
        <w:t xml:space="preserve"> inspeções</w:t>
      </w:r>
      <w:r w:rsidR="007D6724">
        <w:rPr>
          <w:rFonts w:ascii="Times New Roman" w:eastAsia="Times New Roman" w:hAnsi="Times New Roman" w:cs="Times New Roman"/>
          <w:sz w:val="28"/>
        </w:rPr>
        <w:t xml:space="preserve"> e as diferentes ferramentas disponíveis no mercado, de modo que não existe solução única</w:t>
      </w:r>
      <w:r>
        <w:rPr>
          <w:rFonts w:ascii="Times New Roman" w:eastAsia="Times New Roman" w:hAnsi="Times New Roman" w:cs="Times New Roman"/>
          <w:sz w:val="28"/>
        </w:rPr>
        <w:t>:</w:t>
      </w:r>
      <w:r w:rsidR="00600ED6">
        <w:rPr>
          <w:rStyle w:val="Refdenotaderodap"/>
          <w:rFonts w:ascii="Times New Roman" w:eastAsia="Times New Roman" w:hAnsi="Times New Roman" w:cs="Times New Roman"/>
          <w:sz w:val="28"/>
        </w:rPr>
        <w:footnoteReference w:id="1"/>
      </w:r>
    </w:p>
    <w:p w:rsidR="003457B8" w:rsidRPr="003457B8" w:rsidRDefault="003457B8" w:rsidP="003457B8">
      <w:pPr>
        <w:autoSpaceDE w:val="0"/>
        <w:autoSpaceDN w:val="0"/>
        <w:adjustRightInd w:val="0"/>
        <w:spacing w:before="0" w:line="240" w:lineRule="auto"/>
        <w:rPr>
          <w:rFonts w:asciiTheme="minorHAnsi" w:eastAsiaTheme="minorHAnsi" w:hAnsiTheme="minorHAnsi"/>
          <w:sz w:val="22"/>
          <w:szCs w:val="22"/>
          <w:lang w:eastAsia="en-US"/>
        </w:rPr>
      </w:pPr>
    </w:p>
    <w:p w:rsidR="003457B8" w:rsidRPr="003457B8" w:rsidRDefault="003457B8" w:rsidP="007D6724">
      <w:pPr>
        <w:autoSpaceDE w:val="0"/>
        <w:autoSpaceDN w:val="0"/>
        <w:adjustRightInd w:val="0"/>
        <w:spacing w:before="0" w:line="240" w:lineRule="auto"/>
        <w:ind w:left="2268"/>
        <w:jc w:val="both"/>
        <w:rPr>
          <w:rFonts w:asciiTheme="minorHAnsi" w:eastAsiaTheme="minorHAnsi" w:hAnsiTheme="minorHAnsi"/>
          <w:i/>
          <w:sz w:val="22"/>
          <w:szCs w:val="22"/>
          <w:lang w:eastAsia="en-US"/>
        </w:rPr>
      </w:pPr>
      <w:r w:rsidRPr="003457B8">
        <w:rPr>
          <w:rFonts w:asciiTheme="minorHAnsi" w:eastAsiaTheme="minorHAnsi" w:hAnsiTheme="minorHAnsi"/>
          <w:i/>
          <w:sz w:val="22"/>
          <w:szCs w:val="22"/>
          <w:lang w:eastAsia="en-US"/>
        </w:rPr>
        <w:t xml:space="preserve">“As inspeções especiais requerem meios e equipamentos que permitam a aproximação aos locais, áreas e pontos inspecionados da estrutura, podendo ser, por exemplo: escadas telescópicas; andaimes tubulares; caminhões com plataforma; caminhões dotados de dispositivos hidráulicos especiais; treliças moveis; guindastes, dispositivos de </w:t>
      </w:r>
      <w:r w:rsidRPr="003457B8">
        <w:rPr>
          <w:rFonts w:asciiTheme="minorHAnsi" w:eastAsiaTheme="minorHAnsi" w:hAnsiTheme="minorHAnsi"/>
          <w:i/>
          <w:sz w:val="22"/>
          <w:szCs w:val="22"/>
          <w:lang w:eastAsia="en-US"/>
        </w:rPr>
        <w:lastRenderedPageBreak/>
        <w:t>segurança do trabalho instalados sob os tabuleiros, como redes tensionadas para inspeção, etc.</w:t>
      </w:r>
    </w:p>
    <w:p w:rsidR="003457B8" w:rsidRPr="003457B8" w:rsidRDefault="003457B8" w:rsidP="003457B8">
      <w:pPr>
        <w:autoSpaceDE w:val="0"/>
        <w:autoSpaceDN w:val="0"/>
        <w:adjustRightInd w:val="0"/>
        <w:spacing w:before="0" w:line="240" w:lineRule="auto"/>
        <w:ind w:left="2268"/>
        <w:jc w:val="both"/>
        <w:rPr>
          <w:rFonts w:asciiTheme="minorHAnsi" w:eastAsiaTheme="minorHAnsi" w:hAnsiTheme="minorHAnsi"/>
          <w:i/>
          <w:sz w:val="22"/>
          <w:szCs w:val="22"/>
          <w:lang w:eastAsia="en-US"/>
        </w:rPr>
      </w:pPr>
    </w:p>
    <w:p w:rsidR="003457B8" w:rsidRPr="003457B8" w:rsidRDefault="003457B8" w:rsidP="003457B8">
      <w:pPr>
        <w:autoSpaceDE w:val="0"/>
        <w:autoSpaceDN w:val="0"/>
        <w:adjustRightInd w:val="0"/>
        <w:spacing w:before="0" w:line="240" w:lineRule="auto"/>
        <w:ind w:left="2268"/>
        <w:jc w:val="both"/>
        <w:rPr>
          <w:rFonts w:asciiTheme="minorHAnsi" w:eastAsiaTheme="minorHAnsi" w:hAnsiTheme="minorHAnsi"/>
          <w:i/>
          <w:sz w:val="22"/>
          <w:szCs w:val="22"/>
          <w:lang w:eastAsia="en-US"/>
        </w:rPr>
      </w:pPr>
      <w:r w:rsidRPr="003457B8">
        <w:rPr>
          <w:rFonts w:asciiTheme="minorHAnsi" w:eastAsiaTheme="minorHAnsi" w:hAnsiTheme="minorHAnsi"/>
          <w:i/>
          <w:sz w:val="22"/>
          <w:szCs w:val="22"/>
          <w:lang w:eastAsia="en-US"/>
        </w:rPr>
        <w:t xml:space="preserve">Em muitos países, inclusive no Brasil, estão sendo utilizados “DRONES”, que são veículos aéreos não tripulados controlados a distancia por meios eletrônicos e computacionais, para auxiliar nos trabalhos de inspeção e monitoramento das estruturas de pontes e viadutos. </w:t>
      </w:r>
      <w:r w:rsidRPr="007D6724">
        <w:rPr>
          <w:rFonts w:asciiTheme="minorHAnsi" w:eastAsiaTheme="minorHAnsi" w:hAnsiTheme="minorHAnsi"/>
          <w:b/>
          <w:i/>
          <w:sz w:val="22"/>
          <w:szCs w:val="22"/>
          <w:lang w:eastAsia="en-US"/>
        </w:rPr>
        <w:t xml:space="preserve">Ressalta-se que, mesmo com o uso dessa tecnologia, não e dispensável o acompanhamento de profissionais habilitados para realização dos trabalhos de inspeção </w:t>
      </w:r>
      <w:r w:rsidRPr="003457B8">
        <w:rPr>
          <w:rFonts w:asciiTheme="minorHAnsi" w:eastAsiaTheme="minorHAnsi" w:hAnsiTheme="minorHAnsi"/>
          <w:i/>
          <w:sz w:val="22"/>
          <w:szCs w:val="22"/>
          <w:lang w:eastAsia="en-US"/>
        </w:rPr>
        <w:t>(ARAUJO, 2014).</w:t>
      </w:r>
    </w:p>
    <w:p w:rsidR="003457B8" w:rsidRPr="003457B8" w:rsidRDefault="003457B8" w:rsidP="003457B8">
      <w:pPr>
        <w:autoSpaceDE w:val="0"/>
        <w:autoSpaceDN w:val="0"/>
        <w:adjustRightInd w:val="0"/>
        <w:spacing w:before="0" w:line="240" w:lineRule="auto"/>
        <w:ind w:left="2268"/>
        <w:jc w:val="both"/>
        <w:rPr>
          <w:rFonts w:asciiTheme="minorHAnsi" w:eastAsiaTheme="minorHAnsi" w:hAnsiTheme="minorHAnsi"/>
          <w:i/>
          <w:sz w:val="22"/>
          <w:szCs w:val="22"/>
          <w:lang w:eastAsia="en-US"/>
        </w:rPr>
      </w:pPr>
    </w:p>
    <w:p w:rsidR="003457B8" w:rsidRDefault="003457B8" w:rsidP="003457B8">
      <w:pPr>
        <w:autoSpaceDE w:val="0"/>
        <w:autoSpaceDN w:val="0"/>
        <w:adjustRightInd w:val="0"/>
        <w:spacing w:before="0" w:line="240" w:lineRule="auto"/>
        <w:ind w:left="2268"/>
        <w:jc w:val="both"/>
        <w:rPr>
          <w:rFonts w:asciiTheme="minorHAnsi" w:eastAsiaTheme="minorHAnsi" w:hAnsiTheme="minorHAnsi"/>
          <w:i/>
          <w:sz w:val="22"/>
          <w:szCs w:val="22"/>
          <w:lang w:eastAsia="en-US"/>
        </w:rPr>
      </w:pPr>
      <w:r w:rsidRPr="003457B8">
        <w:rPr>
          <w:rFonts w:asciiTheme="minorHAnsi" w:eastAsiaTheme="minorHAnsi" w:hAnsiTheme="minorHAnsi"/>
          <w:i/>
          <w:sz w:val="22"/>
          <w:szCs w:val="22"/>
          <w:lang w:eastAsia="en-US"/>
        </w:rPr>
        <w:t>Atualmente, o Japão utiliza sistemas de inspeção que podem ser empregados na investigação de superfícies de concreto, com uso de câmeras de alta resolução com infravermelho integrada a softwares. Esses sistemas são capazes de captar imagens a longas distancias e com alta definição, podendo-se analisar fissuras com aberturas mínimas de ate 0,1 mm, rastrear mudanças.”</w:t>
      </w:r>
    </w:p>
    <w:p w:rsidR="0005755D" w:rsidRDefault="0005755D" w:rsidP="00770AA8">
      <w:pPr>
        <w:spacing w:before="0" w:line="276" w:lineRule="auto"/>
        <w:jc w:val="both"/>
        <w:rPr>
          <w:rFonts w:ascii="Times New Roman" w:eastAsia="Times New Roman" w:hAnsi="Times New Roman" w:cs="Times New Roman"/>
          <w:sz w:val="28"/>
        </w:rPr>
      </w:pPr>
    </w:p>
    <w:p w:rsidR="003457B8" w:rsidRPr="00C61944" w:rsidRDefault="0069113D" w:rsidP="00C61944">
      <w:pPr>
        <w:spacing w:before="0" w:line="276" w:lineRule="auto"/>
        <w:ind w:left="142" w:firstLine="1559"/>
        <w:jc w:val="both"/>
        <w:rPr>
          <w:rFonts w:ascii="Times New Roman" w:eastAsia="Times New Roman" w:hAnsi="Times New Roman" w:cs="Times New Roman"/>
          <w:sz w:val="28"/>
        </w:rPr>
      </w:pPr>
      <w:r w:rsidRPr="0069113D">
        <w:rPr>
          <w:rFonts w:ascii="Times New Roman" w:eastAsia="Times New Roman" w:hAnsi="Times New Roman" w:cs="Times New Roman"/>
          <w:sz w:val="28"/>
        </w:rPr>
        <w:t>C</w:t>
      </w:r>
      <w:r>
        <w:rPr>
          <w:rFonts w:ascii="Times New Roman" w:eastAsia="Times New Roman" w:hAnsi="Times New Roman" w:cs="Times New Roman"/>
          <w:sz w:val="28"/>
        </w:rPr>
        <w:t xml:space="preserve">umpre destacar que tal tipo de licitação é comumente utilizada para manutenções em OAEs. É o caso, por exemplo, da licitação para obras </w:t>
      </w:r>
      <w:r w:rsidRPr="0069113D">
        <w:rPr>
          <w:rFonts w:ascii="Times New Roman" w:eastAsia="Times New Roman" w:hAnsi="Times New Roman" w:cs="Times New Roman"/>
          <w:sz w:val="28"/>
        </w:rPr>
        <w:t>na</w:t>
      </w:r>
      <w:r w:rsidR="00A83BF9">
        <w:rPr>
          <w:rFonts w:ascii="Times New Roman" w:eastAsia="Times New Roman" w:hAnsi="Times New Roman" w:cs="Times New Roman"/>
          <w:sz w:val="28"/>
        </w:rPr>
        <w:t>s pontes</w:t>
      </w:r>
      <w:r w:rsidRPr="0069113D">
        <w:rPr>
          <w:rFonts w:ascii="Times New Roman" w:eastAsia="Times New Roman" w:hAnsi="Times New Roman" w:cs="Times New Roman"/>
          <w:sz w:val="28"/>
        </w:rPr>
        <w:t xml:space="preserve"> Colombo Salles e Pedro Ivo</w:t>
      </w:r>
      <w:r w:rsidR="00787179">
        <w:rPr>
          <w:rFonts w:ascii="Times New Roman" w:eastAsia="Times New Roman" w:hAnsi="Times New Roman" w:cs="Times New Roman"/>
          <w:sz w:val="28"/>
        </w:rPr>
        <w:t xml:space="preserve">, na cidade de </w:t>
      </w:r>
      <w:r w:rsidR="00A83BF9">
        <w:rPr>
          <w:rFonts w:ascii="Times New Roman" w:eastAsia="Times New Roman" w:hAnsi="Times New Roman" w:cs="Times New Roman"/>
          <w:sz w:val="28"/>
        </w:rPr>
        <w:t xml:space="preserve">Florianópolis, a qual </w:t>
      </w:r>
      <w:r w:rsidR="00C37940">
        <w:rPr>
          <w:rFonts w:ascii="Times New Roman" w:eastAsia="Times New Roman" w:hAnsi="Times New Roman" w:cs="Times New Roman"/>
          <w:sz w:val="28"/>
        </w:rPr>
        <w:t xml:space="preserve">inicialmente foi suspensa </w:t>
      </w:r>
      <w:r w:rsidR="000D4026">
        <w:rPr>
          <w:rFonts w:ascii="Times New Roman" w:eastAsia="Times New Roman" w:hAnsi="Times New Roman" w:cs="Times New Roman"/>
          <w:sz w:val="28"/>
        </w:rPr>
        <w:t xml:space="preserve">cautelarmente </w:t>
      </w:r>
      <w:r w:rsidR="00C37940">
        <w:rPr>
          <w:rFonts w:ascii="Times New Roman" w:eastAsia="Times New Roman" w:hAnsi="Times New Roman" w:cs="Times New Roman"/>
          <w:sz w:val="28"/>
        </w:rPr>
        <w:t>após</w:t>
      </w:r>
      <w:r w:rsidR="00A83BF9">
        <w:rPr>
          <w:rFonts w:ascii="Times New Roman" w:eastAsia="Times New Roman" w:hAnsi="Times New Roman" w:cs="Times New Roman"/>
          <w:sz w:val="28"/>
        </w:rPr>
        <w:t xml:space="preserve"> analis</w:t>
      </w:r>
      <w:r w:rsidR="00C37940">
        <w:rPr>
          <w:rFonts w:ascii="Times New Roman" w:eastAsia="Times New Roman" w:hAnsi="Times New Roman" w:cs="Times New Roman"/>
          <w:sz w:val="28"/>
        </w:rPr>
        <w:t>e</w:t>
      </w:r>
      <w:r w:rsidR="00A83BF9">
        <w:rPr>
          <w:rFonts w:ascii="Times New Roman" w:eastAsia="Times New Roman" w:hAnsi="Times New Roman" w:cs="Times New Roman"/>
          <w:sz w:val="28"/>
        </w:rPr>
        <w:t xml:space="preserve"> pelo Tribunal de Contas de Santa Catarina</w:t>
      </w:r>
      <w:r w:rsidR="00770AA8">
        <w:rPr>
          <w:rStyle w:val="Refdenotaderodap"/>
          <w:rFonts w:ascii="Times New Roman" w:eastAsia="Times New Roman" w:hAnsi="Times New Roman" w:cs="Times New Roman"/>
          <w:sz w:val="28"/>
        </w:rPr>
        <w:footnoteReference w:id="2"/>
      </w:r>
      <w:r w:rsidR="00A83BF9">
        <w:rPr>
          <w:rFonts w:ascii="Times New Roman" w:eastAsia="Times New Roman" w:hAnsi="Times New Roman" w:cs="Times New Roman"/>
          <w:sz w:val="28"/>
        </w:rPr>
        <w:t xml:space="preserve">, </w:t>
      </w:r>
      <w:r w:rsidR="00A83BF9" w:rsidRPr="00A83BF9">
        <w:rPr>
          <w:rFonts w:ascii="Times New Roman" w:eastAsia="Times New Roman" w:hAnsi="Times New Roman" w:cs="Times New Roman"/>
          <w:sz w:val="28"/>
        </w:rPr>
        <w:t>REP-16/00346046</w:t>
      </w:r>
      <w:r w:rsidR="00A83BF9">
        <w:rPr>
          <w:rFonts w:ascii="Times New Roman" w:eastAsia="Times New Roman" w:hAnsi="Times New Roman" w:cs="Times New Roman"/>
          <w:sz w:val="28"/>
        </w:rPr>
        <w:t>,</w:t>
      </w:r>
      <w:r w:rsidR="00C37940">
        <w:rPr>
          <w:rFonts w:ascii="Times New Roman" w:eastAsia="Times New Roman" w:hAnsi="Times New Roman" w:cs="Times New Roman"/>
          <w:sz w:val="28"/>
        </w:rPr>
        <w:t xml:space="preserve"> e, </w:t>
      </w:r>
      <w:r w:rsidR="00E04DD1">
        <w:rPr>
          <w:rFonts w:ascii="Times New Roman" w:eastAsia="Times New Roman" w:hAnsi="Times New Roman" w:cs="Times New Roman"/>
          <w:sz w:val="28"/>
        </w:rPr>
        <w:t>depois de</w:t>
      </w:r>
      <w:r w:rsidR="00A83BF9">
        <w:rPr>
          <w:rFonts w:ascii="Times New Roman" w:eastAsia="Times New Roman" w:hAnsi="Times New Roman" w:cs="Times New Roman"/>
          <w:sz w:val="28"/>
        </w:rPr>
        <w:t xml:space="preserve"> enfrentada igual questão </w:t>
      </w:r>
      <w:r w:rsidR="00C37940">
        <w:rPr>
          <w:rFonts w:ascii="Times New Roman" w:eastAsia="Times New Roman" w:hAnsi="Times New Roman" w:cs="Times New Roman"/>
          <w:sz w:val="28"/>
        </w:rPr>
        <w:t>acerca do tipo de julgamento</w:t>
      </w:r>
      <w:r w:rsidR="00A83BF9">
        <w:rPr>
          <w:rFonts w:ascii="Times New Roman" w:eastAsia="Times New Roman" w:hAnsi="Times New Roman" w:cs="Times New Roman"/>
          <w:sz w:val="28"/>
        </w:rPr>
        <w:t xml:space="preserve">, foi </w:t>
      </w:r>
      <w:r w:rsidR="00CB2EA3">
        <w:rPr>
          <w:rFonts w:ascii="Times New Roman" w:eastAsia="Times New Roman" w:hAnsi="Times New Roman" w:cs="Times New Roman"/>
          <w:sz w:val="28"/>
        </w:rPr>
        <w:t xml:space="preserve">autorizada a retomada do certame </w:t>
      </w:r>
      <w:r w:rsidR="00E04DD1">
        <w:rPr>
          <w:rFonts w:ascii="Times New Roman" w:eastAsia="Times New Roman" w:hAnsi="Times New Roman" w:cs="Times New Roman"/>
          <w:sz w:val="28"/>
        </w:rPr>
        <w:t xml:space="preserve">com o tipo </w:t>
      </w:r>
      <w:r w:rsidR="00CB2EA3">
        <w:rPr>
          <w:rFonts w:ascii="Times New Roman" w:eastAsia="Times New Roman" w:hAnsi="Times New Roman" w:cs="Times New Roman"/>
          <w:sz w:val="28"/>
        </w:rPr>
        <w:t>“técnica e preço”</w:t>
      </w:r>
      <w:r w:rsidR="00770AA8">
        <w:rPr>
          <w:rStyle w:val="Refdenotaderodap"/>
          <w:rFonts w:ascii="Times New Roman" w:eastAsia="Times New Roman" w:hAnsi="Times New Roman" w:cs="Times New Roman"/>
          <w:sz w:val="28"/>
        </w:rPr>
        <w:footnoteReference w:id="3"/>
      </w:r>
      <w:r w:rsidR="00CB2EA3">
        <w:rPr>
          <w:rFonts w:ascii="Times New Roman" w:eastAsia="Times New Roman" w:hAnsi="Times New Roman" w:cs="Times New Roman"/>
          <w:sz w:val="28"/>
        </w:rPr>
        <w:t xml:space="preserve">. </w:t>
      </w:r>
    </w:p>
    <w:p w:rsidR="00770AA8" w:rsidRDefault="00770AA8" w:rsidP="006E125D">
      <w:pPr>
        <w:spacing w:before="0" w:line="276" w:lineRule="auto"/>
        <w:ind w:left="142" w:firstLine="1559"/>
        <w:jc w:val="both"/>
        <w:rPr>
          <w:rFonts w:ascii="Times New Roman" w:eastAsia="Times New Roman" w:hAnsi="Times New Roman" w:cs="Times New Roman"/>
          <w:sz w:val="28"/>
        </w:rPr>
      </w:pPr>
    </w:p>
    <w:p w:rsidR="003457B8" w:rsidRDefault="002A3F34" w:rsidP="006E125D">
      <w:pPr>
        <w:spacing w:before="0" w:line="276" w:lineRule="auto"/>
        <w:ind w:left="142" w:firstLine="1559"/>
        <w:jc w:val="both"/>
        <w:rPr>
          <w:rFonts w:ascii="Times New Roman" w:eastAsia="Times New Roman" w:hAnsi="Times New Roman" w:cs="Times New Roman"/>
          <w:sz w:val="28"/>
        </w:rPr>
      </w:pPr>
      <w:r w:rsidRPr="002A3F34">
        <w:rPr>
          <w:rFonts w:ascii="Times New Roman" w:eastAsia="Times New Roman" w:hAnsi="Times New Roman" w:cs="Times New Roman"/>
          <w:sz w:val="28"/>
        </w:rPr>
        <w:t>Assim,</w:t>
      </w:r>
      <w:r w:rsidR="006E125D">
        <w:rPr>
          <w:rFonts w:ascii="Times New Roman" w:eastAsia="Times New Roman" w:hAnsi="Times New Roman" w:cs="Times New Roman"/>
          <w:sz w:val="28"/>
        </w:rPr>
        <w:t xml:space="preserve"> diante do exposto,</w:t>
      </w:r>
      <w:r w:rsidRPr="002A3F34">
        <w:rPr>
          <w:rFonts w:ascii="Times New Roman" w:eastAsia="Times New Roman" w:hAnsi="Times New Roman" w:cs="Times New Roman"/>
          <w:sz w:val="28"/>
        </w:rPr>
        <w:t xml:space="preserve"> </w:t>
      </w:r>
      <w:r w:rsidR="007D6724">
        <w:rPr>
          <w:rFonts w:ascii="Times New Roman" w:eastAsia="Times New Roman" w:hAnsi="Times New Roman" w:cs="Times New Roman"/>
          <w:sz w:val="28"/>
        </w:rPr>
        <w:t xml:space="preserve">no caso concreto, </w:t>
      </w:r>
      <w:r w:rsidRPr="003457B8">
        <w:rPr>
          <w:rFonts w:ascii="Times New Roman" w:eastAsia="Times New Roman" w:hAnsi="Times New Roman" w:cs="Times New Roman"/>
          <w:sz w:val="28"/>
        </w:rPr>
        <w:t>entendo</w:t>
      </w:r>
      <w:r w:rsidR="007D6724">
        <w:rPr>
          <w:rFonts w:ascii="Times New Roman" w:eastAsia="Times New Roman" w:hAnsi="Times New Roman" w:cs="Times New Roman"/>
          <w:sz w:val="28"/>
        </w:rPr>
        <w:t xml:space="preserve"> pela </w:t>
      </w:r>
      <w:r w:rsidR="00B2054F">
        <w:rPr>
          <w:rFonts w:ascii="Times New Roman" w:eastAsia="Times New Roman" w:hAnsi="Times New Roman" w:cs="Times New Roman"/>
          <w:sz w:val="28"/>
        </w:rPr>
        <w:t>adequação e razoabilidade da</w:t>
      </w:r>
      <w:r w:rsidR="007D6724">
        <w:rPr>
          <w:rFonts w:ascii="Times New Roman" w:eastAsia="Times New Roman" w:hAnsi="Times New Roman" w:cs="Times New Roman"/>
          <w:sz w:val="28"/>
        </w:rPr>
        <w:t xml:space="preserve"> </w:t>
      </w:r>
      <w:r w:rsidR="00B2054F">
        <w:rPr>
          <w:rFonts w:ascii="Times New Roman" w:eastAsia="Times New Roman" w:hAnsi="Times New Roman" w:cs="Times New Roman"/>
          <w:sz w:val="28"/>
        </w:rPr>
        <w:t xml:space="preserve">decisão administrativa </w:t>
      </w:r>
      <w:r w:rsidR="00C61944">
        <w:rPr>
          <w:rFonts w:ascii="Times New Roman" w:eastAsia="Times New Roman" w:hAnsi="Times New Roman" w:cs="Times New Roman"/>
          <w:sz w:val="28"/>
        </w:rPr>
        <w:t xml:space="preserve">que adotou </w:t>
      </w:r>
      <w:r w:rsidR="00474C26">
        <w:rPr>
          <w:rFonts w:ascii="Times New Roman" w:eastAsia="Times New Roman" w:hAnsi="Times New Roman" w:cs="Times New Roman"/>
          <w:sz w:val="28"/>
        </w:rPr>
        <w:t xml:space="preserve">o tipo </w:t>
      </w:r>
      <w:r w:rsidR="007D6724">
        <w:rPr>
          <w:rFonts w:ascii="Times New Roman" w:eastAsia="Times New Roman" w:hAnsi="Times New Roman" w:cs="Times New Roman"/>
          <w:sz w:val="28"/>
        </w:rPr>
        <w:t xml:space="preserve">técnica e preço, </w:t>
      </w:r>
      <w:r w:rsidR="00947C37">
        <w:rPr>
          <w:rFonts w:ascii="Times New Roman" w:eastAsia="Times New Roman" w:hAnsi="Times New Roman" w:cs="Times New Roman"/>
          <w:sz w:val="28"/>
        </w:rPr>
        <w:t>considerando, assim,</w:t>
      </w:r>
      <w:r w:rsidRPr="003457B8">
        <w:rPr>
          <w:rFonts w:ascii="Times New Roman" w:eastAsia="Times New Roman" w:hAnsi="Times New Roman" w:cs="Times New Roman"/>
          <w:sz w:val="28"/>
        </w:rPr>
        <w:t xml:space="preserve"> </w:t>
      </w:r>
      <w:r w:rsidR="00ED15DC">
        <w:rPr>
          <w:rFonts w:ascii="Times New Roman" w:eastAsia="Times New Roman" w:hAnsi="Times New Roman" w:cs="Times New Roman"/>
          <w:sz w:val="28"/>
        </w:rPr>
        <w:t xml:space="preserve">o </w:t>
      </w:r>
      <w:r w:rsidRPr="003457B8">
        <w:rPr>
          <w:rFonts w:ascii="Times New Roman" w:eastAsia="Times New Roman" w:hAnsi="Times New Roman" w:cs="Times New Roman"/>
          <w:sz w:val="28"/>
        </w:rPr>
        <w:t xml:space="preserve">apontamento </w:t>
      </w:r>
      <w:r>
        <w:rPr>
          <w:rFonts w:ascii="Times New Roman" w:eastAsia="Times New Roman" w:hAnsi="Times New Roman" w:cs="Times New Roman"/>
          <w:sz w:val="28"/>
        </w:rPr>
        <w:t>em questão</w:t>
      </w:r>
      <w:r w:rsidR="00947C37">
        <w:rPr>
          <w:rFonts w:ascii="Times New Roman" w:eastAsia="Times New Roman" w:hAnsi="Times New Roman" w:cs="Times New Roman"/>
          <w:sz w:val="28"/>
        </w:rPr>
        <w:t xml:space="preserve"> como superado</w:t>
      </w:r>
      <w:r>
        <w:rPr>
          <w:rFonts w:ascii="Times New Roman" w:eastAsia="Times New Roman" w:hAnsi="Times New Roman" w:cs="Times New Roman"/>
          <w:sz w:val="28"/>
        </w:rPr>
        <w:t>.</w:t>
      </w:r>
    </w:p>
    <w:p w:rsidR="0005755D" w:rsidRDefault="0005755D" w:rsidP="00770AA8">
      <w:pPr>
        <w:spacing w:before="0" w:line="276" w:lineRule="auto"/>
        <w:ind w:left="142" w:firstLine="1559"/>
        <w:jc w:val="both"/>
        <w:rPr>
          <w:rFonts w:ascii="Times New Roman" w:eastAsia="Times New Roman" w:hAnsi="Times New Roman" w:cs="Times New Roman"/>
          <w:sz w:val="28"/>
        </w:rPr>
      </w:pPr>
    </w:p>
    <w:p w:rsidR="00A25542" w:rsidRDefault="00285ED7" w:rsidP="004233A2">
      <w:pPr>
        <w:pStyle w:val="PargrafodaLista"/>
        <w:numPr>
          <w:ilvl w:val="0"/>
          <w:numId w:val="29"/>
        </w:numPr>
        <w:spacing w:before="0" w:line="276" w:lineRule="auto"/>
        <w:jc w:val="both"/>
        <w:rPr>
          <w:rFonts w:ascii="Times New Roman" w:eastAsia="Times New Roman" w:hAnsi="Times New Roman" w:cs="Times New Roman"/>
          <w:b/>
          <w:sz w:val="28"/>
        </w:rPr>
      </w:pPr>
      <w:r w:rsidRPr="00335787">
        <w:rPr>
          <w:rFonts w:ascii="Times New Roman" w:eastAsia="Times New Roman" w:hAnsi="Times New Roman" w:cs="Times New Roman"/>
          <w:b/>
          <w:sz w:val="28"/>
        </w:rPr>
        <w:t>Do agrupamento em lotes (5.2)</w:t>
      </w:r>
    </w:p>
    <w:p w:rsidR="001825CA" w:rsidRPr="001825CA" w:rsidRDefault="001825CA" w:rsidP="001825CA">
      <w:pPr>
        <w:pStyle w:val="PargrafodaLista"/>
        <w:spacing w:before="0" w:line="276" w:lineRule="auto"/>
        <w:ind w:left="2061"/>
        <w:jc w:val="both"/>
        <w:rPr>
          <w:rFonts w:ascii="Times New Roman" w:eastAsia="Times New Roman" w:hAnsi="Times New Roman" w:cs="Times New Roman"/>
          <w:b/>
          <w:sz w:val="28"/>
        </w:rPr>
      </w:pPr>
    </w:p>
    <w:p w:rsidR="00FA5777" w:rsidRDefault="00A25542" w:rsidP="00FA5777">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Sobre a divisão do objeto em lotes, justificou </w:t>
      </w:r>
      <w:r w:rsidRPr="00A25542">
        <w:rPr>
          <w:rFonts w:ascii="Times New Roman" w:eastAsia="Times New Roman" w:hAnsi="Times New Roman" w:cs="Times New Roman"/>
          <w:sz w:val="28"/>
        </w:rPr>
        <w:t xml:space="preserve">a </w:t>
      </w:r>
      <w:r w:rsidR="00A96AFF">
        <w:rPr>
          <w:rFonts w:ascii="Times New Roman" w:eastAsia="Times New Roman" w:hAnsi="Times New Roman" w:cs="Times New Roman"/>
          <w:sz w:val="28"/>
        </w:rPr>
        <w:t>Origem</w:t>
      </w:r>
      <w:r>
        <w:rPr>
          <w:rFonts w:ascii="Times New Roman" w:eastAsia="Times New Roman" w:hAnsi="Times New Roman" w:cs="Times New Roman"/>
          <w:sz w:val="28"/>
        </w:rPr>
        <w:t xml:space="preserve"> que </w:t>
      </w:r>
      <w:r w:rsidRPr="00A25542">
        <w:rPr>
          <w:rFonts w:ascii="Times New Roman" w:eastAsia="Times New Roman" w:hAnsi="Times New Roman" w:cs="Times New Roman"/>
          <w:sz w:val="28"/>
        </w:rPr>
        <w:t>a realização de</w:t>
      </w:r>
      <w:r w:rsidR="008472C0">
        <w:rPr>
          <w:rFonts w:ascii="Times New Roman" w:eastAsia="Times New Roman" w:hAnsi="Times New Roman" w:cs="Times New Roman"/>
          <w:sz w:val="28"/>
        </w:rPr>
        <w:t xml:space="preserve"> 55</w:t>
      </w:r>
      <w:r w:rsidRPr="00A25542">
        <w:rPr>
          <w:rFonts w:ascii="Times New Roman" w:eastAsia="Times New Roman" w:hAnsi="Times New Roman" w:cs="Times New Roman"/>
          <w:sz w:val="28"/>
        </w:rPr>
        <w:t xml:space="preserve"> licitações isola</w:t>
      </w:r>
      <w:r w:rsidR="000D4026">
        <w:rPr>
          <w:rFonts w:ascii="Times New Roman" w:eastAsia="Times New Roman" w:hAnsi="Times New Roman" w:cs="Times New Roman"/>
          <w:sz w:val="28"/>
        </w:rPr>
        <w:t>das, ainda que não representasse</w:t>
      </w:r>
      <w:r w:rsidR="008472C0">
        <w:rPr>
          <w:rFonts w:ascii="Times New Roman" w:eastAsia="Times New Roman" w:hAnsi="Times New Roman" w:cs="Times New Roman"/>
          <w:sz w:val="28"/>
        </w:rPr>
        <w:t>m</w:t>
      </w:r>
      <w:r w:rsidRPr="00A25542">
        <w:rPr>
          <w:rFonts w:ascii="Times New Roman" w:eastAsia="Times New Roman" w:hAnsi="Times New Roman" w:cs="Times New Roman"/>
          <w:sz w:val="28"/>
        </w:rPr>
        <w:t xml:space="preserve"> desnaturação ou fragmentação do objeto, não poderia</w:t>
      </w:r>
      <w:r w:rsidR="008472C0">
        <w:rPr>
          <w:rFonts w:ascii="Times New Roman" w:eastAsia="Times New Roman" w:hAnsi="Times New Roman" w:cs="Times New Roman"/>
          <w:sz w:val="28"/>
        </w:rPr>
        <w:t>m</w:t>
      </w:r>
      <w:r w:rsidRPr="00A25542">
        <w:rPr>
          <w:rFonts w:ascii="Times New Roman" w:eastAsia="Times New Roman" w:hAnsi="Times New Roman" w:cs="Times New Roman"/>
          <w:sz w:val="28"/>
        </w:rPr>
        <w:t xml:space="preserve"> ser levada</w:t>
      </w:r>
      <w:r w:rsidR="008472C0">
        <w:rPr>
          <w:rFonts w:ascii="Times New Roman" w:eastAsia="Times New Roman" w:hAnsi="Times New Roman" w:cs="Times New Roman"/>
          <w:sz w:val="28"/>
        </w:rPr>
        <w:t>s a termo</w:t>
      </w:r>
      <w:r w:rsidRPr="00A25542">
        <w:rPr>
          <w:rFonts w:ascii="Times New Roman" w:eastAsia="Times New Roman" w:hAnsi="Times New Roman" w:cs="Times New Roman"/>
          <w:sz w:val="28"/>
        </w:rPr>
        <w:t>, pois, no caso concreto</w:t>
      </w:r>
      <w:r>
        <w:rPr>
          <w:rFonts w:ascii="Times New Roman" w:eastAsia="Times New Roman" w:hAnsi="Times New Roman" w:cs="Times New Roman"/>
          <w:sz w:val="28"/>
        </w:rPr>
        <w:t>,</w:t>
      </w:r>
      <w:r w:rsidRPr="00A25542">
        <w:rPr>
          <w:rFonts w:ascii="Times New Roman" w:eastAsia="Times New Roman" w:hAnsi="Times New Roman" w:cs="Times New Roman"/>
          <w:sz w:val="28"/>
        </w:rPr>
        <w:t xml:space="preserve"> a divisão traria prejuízos na economia de escala e geraria custos desnecessários relacionados </w:t>
      </w:r>
      <w:r w:rsidR="000D4026">
        <w:rPr>
          <w:rFonts w:ascii="Times New Roman" w:eastAsia="Times New Roman" w:hAnsi="Times New Roman" w:cs="Times New Roman"/>
          <w:sz w:val="28"/>
        </w:rPr>
        <w:t>à multiplicidade de contratos oriundos de</w:t>
      </w:r>
      <w:r w:rsidRPr="00A25542">
        <w:rPr>
          <w:rFonts w:ascii="Times New Roman" w:eastAsia="Times New Roman" w:hAnsi="Times New Roman" w:cs="Times New Roman"/>
          <w:sz w:val="28"/>
        </w:rPr>
        <w:t xml:space="preserve"> licitação, além de potencializar os riscos e dificuldades na gestão dos</w:t>
      </w:r>
      <w:r w:rsidR="000D4026">
        <w:rPr>
          <w:rFonts w:ascii="Times New Roman" w:eastAsia="Times New Roman" w:hAnsi="Times New Roman" w:cs="Times New Roman"/>
          <w:sz w:val="28"/>
        </w:rPr>
        <w:t xml:space="preserve"> vários</w:t>
      </w:r>
      <w:r w:rsidRPr="00A25542">
        <w:rPr>
          <w:rFonts w:ascii="Times New Roman" w:eastAsia="Times New Roman" w:hAnsi="Times New Roman" w:cs="Times New Roman"/>
          <w:sz w:val="28"/>
        </w:rPr>
        <w:t xml:space="preserve"> contratos autônomos para atendimento</w:t>
      </w:r>
      <w:r w:rsidR="000D4026">
        <w:rPr>
          <w:rFonts w:ascii="Times New Roman" w:eastAsia="Times New Roman" w:hAnsi="Times New Roman" w:cs="Times New Roman"/>
          <w:sz w:val="28"/>
        </w:rPr>
        <w:t>, basicamente,</w:t>
      </w:r>
      <w:r w:rsidRPr="00A25542">
        <w:rPr>
          <w:rFonts w:ascii="Times New Roman" w:eastAsia="Times New Roman" w:hAnsi="Times New Roman" w:cs="Times New Roman"/>
          <w:sz w:val="28"/>
        </w:rPr>
        <w:t xml:space="preserve"> da mesma pretensão contratual</w:t>
      </w:r>
      <w:r>
        <w:rPr>
          <w:rFonts w:ascii="Times New Roman" w:eastAsia="Times New Roman" w:hAnsi="Times New Roman" w:cs="Times New Roman"/>
          <w:sz w:val="28"/>
        </w:rPr>
        <w:t>.</w:t>
      </w:r>
      <w:r w:rsidR="00FA5777">
        <w:rPr>
          <w:rFonts w:ascii="Times New Roman" w:eastAsia="Times New Roman" w:hAnsi="Times New Roman" w:cs="Times New Roman"/>
          <w:sz w:val="28"/>
        </w:rPr>
        <w:t xml:space="preserve"> Ressaltou, também, </w:t>
      </w:r>
      <w:r w:rsidR="00FA5777" w:rsidRPr="00FA5777">
        <w:rPr>
          <w:rFonts w:ascii="Times New Roman" w:eastAsia="Times New Roman" w:hAnsi="Times New Roman" w:cs="Times New Roman"/>
          <w:sz w:val="28"/>
        </w:rPr>
        <w:t xml:space="preserve">o fato de que não </w:t>
      </w:r>
      <w:r w:rsidR="00FA5777">
        <w:rPr>
          <w:rFonts w:ascii="Times New Roman" w:eastAsia="Times New Roman" w:hAnsi="Times New Roman" w:cs="Times New Roman"/>
          <w:sz w:val="28"/>
        </w:rPr>
        <w:t>existem</w:t>
      </w:r>
      <w:r w:rsidR="00FA5777" w:rsidRPr="00FA5777">
        <w:rPr>
          <w:rFonts w:ascii="Times New Roman" w:eastAsia="Times New Roman" w:hAnsi="Times New Roman" w:cs="Times New Roman"/>
          <w:sz w:val="28"/>
        </w:rPr>
        <w:t xml:space="preserve"> mu</w:t>
      </w:r>
      <w:r w:rsidR="000D4026">
        <w:rPr>
          <w:rFonts w:ascii="Times New Roman" w:eastAsia="Times New Roman" w:hAnsi="Times New Roman" w:cs="Times New Roman"/>
          <w:sz w:val="28"/>
        </w:rPr>
        <w:t>itas empresas com especialidade</w:t>
      </w:r>
      <w:r w:rsidR="00FA5777" w:rsidRPr="00FA5777">
        <w:rPr>
          <w:rFonts w:ascii="Times New Roman" w:eastAsia="Times New Roman" w:hAnsi="Times New Roman" w:cs="Times New Roman"/>
          <w:sz w:val="28"/>
        </w:rPr>
        <w:t xml:space="preserve"> em inspeções especiais e de recuperação de pontes e viadutos</w:t>
      </w:r>
      <w:r w:rsidR="00FA5777">
        <w:rPr>
          <w:rFonts w:ascii="Times New Roman" w:eastAsia="Times New Roman" w:hAnsi="Times New Roman" w:cs="Times New Roman"/>
          <w:sz w:val="28"/>
        </w:rPr>
        <w:t>, que exige</w:t>
      </w:r>
      <w:r w:rsidR="00FA5777" w:rsidRPr="00FA5777">
        <w:rPr>
          <w:rFonts w:ascii="Times New Roman" w:eastAsia="Times New Roman" w:hAnsi="Times New Roman" w:cs="Times New Roman"/>
          <w:sz w:val="28"/>
        </w:rPr>
        <w:t xml:space="preserve"> amplo conhecimento técnico de cálculo de dimensionamento, do comportamento da estrutura, de materiais, etc., e onde a expertise exigida de engenheiros que atuam na área é maior, com senioridade superior </w:t>
      </w:r>
      <w:r w:rsidR="00FA5777">
        <w:rPr>
          <w:rFonts w:ascii="Times New Roman" w:eastAsia="Times New Roman" w:hAnsi="Times New Roman" w:cs="Times New Roman"/>
          <w:sz w:val="28"/>
        </w:rPr>
        <w:t>à de outras áreas da engenharia.</w:t>
      </w:r>
    </w:p>
    <w:p w:rsidR="00383420" w:rsidRPr="001825CA" w:rsidRDefault="00383420" w:rsidP="001825CA">
      <w:pPr>
        <w:spacing w:before="0" w:line="276" w:lineRule="auto"/>
        <w:ind w:left="142" w:firstLine="1559"/>
        <w:jc w:val="both"/>
        <w:rPr>
          <w:rFonts w:ascii="Times New Roman" w:eastAsia="Times New Roman" w:hAnsi="Times New Roman" w:cs="Times New Roman"/>
          <w:sz w:val="28"/>
        </w:rPr>
      </w:pPr>
    </w:p>
    <w:p w:rsidR="00A25542" w:rsidRDefault="003B26A1" w:rsidP="001825CA">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Tendo presente a motivação da sistemática adotada, onde se evidenciou critérios objetivos </w:t>
      </w:r>
      <w:r w:rsidR="00336A78">
        <w:rPr>
          <w:rFonts w:ascii="Times New Roman" w:eastAsia="Times New Roman" w:hAnsi="Times New Roman" w:cs="Times New Roman"/>
          <w:sz w:val="28"/>
        </w:rPr>
        <w:t>para a decisão de conformação da</w:t>
      </w:r>
      <w:r>
        <w:rPr>
          <w:rFonts w:ascii="Times New Roman" w:eastAsia="Times New Roman" w:hAnsi="Times New Roman" w:cs="Times New Roman"/>
          <w:sz w:val="28"/>
        </w:rPr>
        <w:t xml:space="preserve"> </w:t>
      </w:r>
      <w:r w:rsidR="00336A78">
        <w:rPr>
          <w:rFonts w:ascii="Times New Roman" w:eastAsia="Times New Roman" w:hAnsi="Times New Roman" w:cs="Times New Roman"/>
          <w:sz w:val="28"/>
        </w:rPr>
        <w:t>licitação</w:t>
      </w:r>
      <w:r>
        <w:rPr>
          <w:rFonts w:ascii="Times New Roman" w:eastAsia="Times New Roman" w:hAnsi="Times New Roman" w:cs="Times New Roman"/>
          <w:sz w:val="28"/>
        </w:rPr>
        <w:t xml:space="preserve"> em lotes, entendo que tal apontamento não </w:t>
      </w:r>
      <w:r w:rsidR="00A96AFF">
        <w:rPr>
          <w:rFonts w:ascii="Times New Roman" w:eastAsia="Times New Roman" w:hAnsi="Times New Roman" w:cs="Times New Roman"/>
          <w:sz w:val="28"/>
        </w:rPr>
        <w:t>tem</w:t>
      </w:r>
      <w:r>
        <w:rPr>
          <w:rFonts w:ascii="Times New Roman" w:eastAsia="Times New Roman" w:hAnsi="Times New Roman" w:cs="Times New Roman"/>
          <w:sz w:val="28"/>
        </w:rPr>
        <w:t xml:space="preserve"> o condão de impedir o prosseguimento do certame, até porque não seria razoável exigir da Origem capacidade operacional para gerenciar tantos contratos</w:t>
      </w:r>
      <w:r w:rsidR="000D4026">
        <w:rPr>
          <w:rFonts w:ascii="Times New Roman" w:eastAsia="Times New Roman" w:hAnsi="Times New Roman" w:cs="Times New Roman"/>
          <w:sz w:val="28"/>
        </w:rPr>
        <w:t xml:space="preserve"> feitos</w:t>
      </w:r>
      <w:r>
        <w:rPr>
          <w:rFonts w:ascii="Times New Roman" w:eastAsia="Times New Roman" w:hAnsi="Times New Roman" w:cs="Times New Roman"/>
          <w:sz w:val="28"/>
        </w:rPr>
        <w:t xml:space="preserve"> de forma individualizada. </w:t>
      </w:r>
    </w:p>
    <w:p w:rsidR="00A96AFF" w:rsidRDefault="00A96AFF" w:rsidP="001825CA">
      <w:pPr>
        <w:spacing w:before="0" w:line="276" w:lineRule="auto"/>
        <w:ind w:left="142" w:firstLine="1559"/>
        <w:jc w:val="both"/>
        <w:rPr>
          <w:rFonts w:ascii="Times New Roman" w:eastAsia="Times New Roman" w:hAnsi="Times New Roman" w:cs="Times New Roman"/>
          <w:sz w:val="28"/>
        </w:rPr>
      </w:pPr>
    </w:p>
    <w:p w:rsidR="000659DA" w:rsidRDefault="00815985" w:rsidP="001825CA">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Assim, discordo da</w:t>
      </w:r>
      <w:r w:rsidR="000659DA">
        <w:rPr>
          <w:rFonts w:ascii="Times New Roman" w:eastAsia="Times New Roman" w:hAnsi="Times New Roman" w:cs="Times New Roman"/>
          <w:sz w:val="28"/>
        </w:rPr>
        <w:t xml:space="preserve"> alegação da Especializada de que “</w:t>
      </w:r>
      <w:r w:rsidR="000659DA" w:rsidRPr="001825CA">
        <w:rPr>
          <w:rFonts w:ascii="Times New Roman" w:eastAsia="Times New Roman" w:hAnsi="Times New Roman" w:cs="Times New Roman"/>
          <w:sz w:val="28"/>
        </w:rPr>
        <w:t>o volume dos serviços a serem acompanhados pela fiscalização está relacionado ao grande número de inspeções a serem realizadas (OAEs) e não à quantidade</w:t>
      </w:r>
      <w:r w:rsidR="000659DA" w:rsidRPr="009C64DA">
        <w:rPr>
          <w:rFonts w:ascii="Times New Roman" w:eastAsia="Times New Roman" w:hAnsi="Times New Roman" w:cs="Times New Roman"/>
          <w:i/>
          <w:sz w:val="28"/>
          <w:u w:val="single"/>
        </w:rPr>
        <w:t xml:space="preserve"> de empresas contratadas</w:t>
      </w:r>
      <w:r w:rsidR="000659DA" w:rsidRPr="00815985">
        <w:rPr>
          <w:rFonts w:ascii="Times New Roman" w:eastAsia="Times New Roman" w:hAnsi="Times New Roman" w:cs="Times New Roman"/>
          <w:sz w:val="28"/>
        </w:rPr>
        <w:t>”</w:t>
      </w:r>
      <w:r>
        <w:rPr>
          <w:rFonts w:ascii="Times New Roman" w:eastAsia="Times New Roman" w:hAnsi="Times New Roman" w:cs="Times New Roman"/>
          <w:sz w:val="28"/>
        </w:rPr>
        <w:t>, pois</w:t>
      </w:r>
      <w:r w:rsidR="00633B82">
        <w:rPr>
          <w:rFonts w:ascii="Times New Roman" w:eastAsia="Times New Roman" w:hAnsi="Times New Roman" w:cs="Times New Roman"/>
          <w:sz w:val="28"/>
        </w:rPr>
        <w:t xml:space="preserve">, </w:t>
      </w:r>
      <w:r w:rsidR="009C64DA">
        <w:rPr>
          <w:rFonts w:ascii="Times New Roman" w:eastAsia="Times New Roman" w:hAnsi="Times New Roman" w:cs="Times New Roman"/>
          <w:sz w:val="28"/>
        </w:rPr>
        <w:t>se consideramos</w:t>
      </w:r>
      <w:r w:rsidR="00633B82">
        <w:rPr>
          <w:rFonts w:ascii="Times New Roman" w:eastAsia="Times New Roman" w:hAnsi="Times New Roman" w:cs="Times New Roman"/>
          <w:sz w:val="28"/>
        </w:rPr>
        <w:t xml:space="preserve"> apenas as exigências legais </w:t>
      </w:r>
      <w:r w:rsidR="00974E47">
        <w:rPr>
          <w:rFonts w:ascii="Times New Roman" w:eastAsia="Times New Roman" w:hAnsi="Times New Roman" w:cs="Times New Roman"/>
          <w:sz w:val="28"/>
        </w:rPr>
        <w:t>obrigatórias</w:t>
      </w:r>
      <w:r w:rsidR="001D2253">
        <w:rPr>
          <w:rFonts w:ascii="Times New Roman" w:eastAsia="Times New Roman" w:hAnsi="Times New Roman" w:cs="Times New Roman"/>
          <w:sz w:val="28"/>
        </w:rPr>
        <w:t xml:space="preserve"> para contratação</w:t>
      </w:r>
      <w:r w:rsidR="00974E47">
        <w:rPr>
          <w:rFonts w:ascii="Times New Roman" w:eastAsia="Times New Roman" w:hAnsi="Times New Roman" w:cs="Times New Roman"/>
          <w:sz w:val="28"/>
        </w:rPr>
        <w:t xml:space="preserve"> </w:t>
      </w:r>
      <w:r w:rsidR="001D2253">
        <w:rPr>
          <w:rFonts w:ascii="Times New Roman" w:eastAsia="Times New Roman" w:hAnsi="Times New Roman" w:cs="Times New Roman"/>
          <w:sz w:val="28"/>
        </w:rPr>
        <w:t>e medição dos serviços,</w:t>
      </w:r>
      <w:r>
        <w:rPr>
          <w:rFonts w:ascii="Times New Roman" w:eastAsia="Times New Roman" w:hAnsi="Times New Roman" w:cs="Times New Roman"/>
          <w:sz w:val="28"/>
        </w:rPr>
        <w:t xml:space="preserve"> </w:t>
      </w:r>
      <w:r w:rsidR="001D2253">
        <w:rPr>
          <w:rFonts w:ascii="Times New Roman" w:eastAsia="Times New Roman" w:hAnsi="Times New Roman" w:cs="Times New Roman"/>
          <w:sz w:val="28"/>
        </w:rPr>
        <w:t>é</w:t>
      </w:r>
      <w:r>
        <w:rPr>
          <w:rFonts w:ascii="Times New Roman" w:eastAsia="Times New Roman" w:hAnsi="Times New Roman" w:cs="Times New Roman"/>
          <w:sz w:val="28"/>
        </w:rPr>
        <w:t xml:space="preserve"> muito mais complexo para a Administraç</w:t>
      </w:r>
      <w:r w:rsidR="00336A78">
        <w:rPr>
          <w:rFonts w:ascii="Times New Roman" w:eastAsia="Times New Roman" w:hAnsi="Times New Roman" w:cs="Times New Roman"/>
          <w:sz w:val="28"/>
        </w:rPr>
        <w:t>ão gerir 55 contratos distintos</w:t>
      </w:r>
      <w:r w:rsidR="001D2253">
        <w:rPr>
          <w:rFonts w:ascii="Times New Roman" w:eastAsia="Times New Roman" w:hAnsi="Times New Roman" w:cs="Times New Roman"/>
          <w:sz w:val="28"/>
        </w:rPr>
        <w:t xml:space="preserve"> do que gerir </w:t>
      </w:r>
      <w:r w:rsidR="00633B82">
        <w:rPr>
          <w:rFonts w:ascii="Times New Roman" w:eastAsia="Times New Roman" w:hAnsi="Times New Roman" w:cs="Times New Roman"/>
          <w:sz w:val="28"/>
        </w:rPr>
        <w:t xml:space="preserve">apenas </w:t>
      </w:r>
      <w:r w:rsidR="001D2253">
        <w:rPr>
          <w:rFonts w:ascii="Times New Roman" w:eastAsia="Times New Roman" w:hAnsi="Times New Roman" w:cs="Times New Roman"/>
          <w:sz w:val="28"/>
        </w:rPr>
        <w:t>1</w:t>
      </w:r>
      <w:r w:rsidR="00E22198">
        <w:rPr>
          <w:rFonts w:ascii="Times New Roman" w:eastAsia="Times New Roman" w:hAnsi="Times New Roman" w:cs="Times New Roman"/>
          <w:sz w:val="28"/>
        </w:rPr>
        <w:t>3</w:t>
      </w:r>
      <w:r w:rsidR="001D2253">
        <w:rPr>
          <w:rFonts w:ascii="Times New Roman" w:eastAsia="Times New Roman" w:hAnsi="Times New Roman" w:cs="Times New Roman"/>
          <w:sz w:val="28"/>
        </w:rPr>
        <w:t xml:space="preserve"> (no caso de lotes). </w:t>
      </w:r>
    </w:p>
    <w:p w:rsidR="000338FE" w:rsidRDefault="000338FE" w:rsidP="00600ED6">
      <w:pPr>
        <w:pStyle w:val="PargrafodaLista"/>
        <w:spacing w:before="0" w:line="276" w:lineRule="auto"/>
        <w:ind w:left="142" w:firstLine="1559"/>
        <w:jc w:val="both"/>
        <w:rPr>
          <w:rFonts w:ascii="Times New Roman" w:eastAsia="Times New Roman" w:hAnsi="Times New Roman" w:cs="Times New Roman"/>
          <w:sz w:val="28"/>
        </w:rPr>
      </w:pPr>
    </w:p>
    <w:p w:rsidR="005900CB" w:rsidRDefault="00A57B84" w:rsidP="00600ED6">
      <w:pPr>
        <w:pStyle w:val="PargrafodaLista"/>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A</w:t>
      </w:r>
      <w:r w:rsidR="003F490C" w:rsidRPr="00D56F18">
        <w:rPr>
          <w:rFonts w:ascii="Times New Roman" w:eastAsia="Times New Roman" w:hAnsi="Times New Roman" w:cs="Times New Roman"/>
          <w:sz w:val="28"/>
        </w:rPr>
        <w:t xml:space="preserve"> título de </w:t>
      </w:r>
      <w:r w:rsidR="000338FE">
        <w:rPr>
          <w:rFonts w:ascii="Times New Roman" w:eastAsia="Times New Roman" w:hAnsi="Times New Roman" w:cs="Times New Roman"/>
          <w:sz w:val="28"/>
        </w:rPr>
        <w:t xml:space="preserve">exemplificação </w:t>
      </w:r>
      <w:r w:rsidR="00305242" w:rsidRPr="00D56F18">
        <w:rPr>
          <w:rFonts w:ascii="Times New Roman" w:eastAsia="Times New Roman" w:hAnsi="Times New Roman" w:cs="Times New Roman"/>
          <w:sz w:val="28"/>
        </w:rPr>
        <w:t>d</w:t>
      </w:r>
      <w:r w:rsidR="00974E47">
        <w:rPr>
          <w:rFonts w:ascii="Times New Roman" w:eastAsia="Times New Roman" w:hAnsi="Times New Roman" w:cs="Times New Roman"/>
          <w:sz w:val="28"/>
        </w:rPr>
        <w:t>o volume das</w:t>
      </w:r>
      <w:r w:rsidR="00305242" w:rsidRPr="00D56F18">
        <w:rPr>
          <w:rFonts w:ascii="Times New Roman" w:eastAsia="Times New Roman" w:hAnsi="Times New Roman" w:cs="Times New Roman"/>
          <w:sz w:val="28"/>
        </w:rPr>
        <w:t xml:space="preserve"> intervenções pro</w:t>
      </w:r>
      <w:r w:rsidR="00F53439" w:rsidRPr="00D56F18">
        <w:rPr>
          <w:rFonts w:ascii="Times New Roman" w:eastAsia="Times New Roman" w:hAnsi="Times New Roman" w:cs="Times New Roman"/>
          <w:sz w:val="28"/>
        </w:rPr>
        <w:t>postas</w:t>
      </w:r>
      <w:r w:rsidR="003F490C" w:rsidRPr="00D56F18">
        <w:rPr>
          <w:rFonts w:ascii="Times New Roman" w:eastAsia="Times New Roman" w:hAnsi="Times New Roman" w:cs="Times New Roman"/>
          <w:sz w:val="28"/>
        </w:rPr>
        <w:t xml:space="preserve">, </w:t>
      </w:r>
      <w:r>
        <w:rPr>
          <w:rFonts w:ascii="Times New Roman" w:eastAsia="Times New Roman" w:hAnsi="Times New Roman" w:cs="Times New Roman"/>
          <w:sz w:val="28"/>
        </w:rPr>
        <w:t>ressaltamos que nos 3 certames já em curso para esse objeto</w:t>
      </w:r>
      <w:r w:rsidR="00E17D62" w:rsidRPr="00D56F18">
        <w:rPr>
          <w:rFonts w:ascii="Times New Roman" w:eastAsia="Times New Roman" w:hAnsi="Times New Roman" w:cs="Times New Roman"/>
          <w:sz w:val="28"/>
        </w:rPr>
        <w:t xml:space="preserve"> </w:t>
      </w:r>
      <w:r>
        <w:rPr>
          <w:rFonts w:ascii="Times New Roman" w:eastAsia="Times New Roman" w:hAnsi="Times New Roman" w:cs="Times New Roman"/>
          <w:sz w:val="28"/>
        </w:rPr>
        <w:t>(C</w:t>
      </w:r>
      <w:r w:rsidR="00E17D62" w:rsidRPr="00D56F18">
        <w:rPr>
          <w:rFonts w:ascii="Times New Roman" w:eastAsia="Times New Roman" w:hAnsi="Times New Roman" w:cs="Times New Roman"/>
          <w:sz w:val="28"/>
        </w:rPr>
        <w:t>oncorrências</w:t>
      </w:r>
      <w:r w:rsidR="00D81EE7" w:rsidRPr="00D56F18">
        <w:rPr>
          <w:rFonts w:ascii="Times New Roman" w:eastAsia="Times New Roman" w:hAnsi="Times New Roman" w:cs="Times New Roman"/>
          <w:sz w:val="28"/>
        </w:rPr>
        <w:t xml:space="preserve"> nºs</w:t>
      </w:r>
      <w:r w:rsidR="003F490C" w:rsidRPr="00D56F18">
        <w:rPr>
          <w:rFonts w:ascii="Times New Roman" w:eastAsia="Times New Roman" w:hAnsi="Times New Roman" w:cs="Times New Roman"/>
          <w:sz w:val="28"/>
        </w:rPr>
        <w:t xml:space="preserve"> 004, 005 e </w:t>
      </w:r>
      <w:r w:rsidRPr="00A57B84">
        <w:rPr>
          <w:rFonts w:ascii="Times New Roman" w:eastAsia="Times New Roman" w:hAnsi="Times New Roman" w:cs="Times New Roman"/>
          <w:sz w:val="28"/>
        </w:rPr>
        <w:t xml:space="preserve">007), existe a previsão de inspeção e recuperação de </w:t>
      </w:r>
      <w:r w:rsidR="00D81EE7" w:rsidRPr="00A57B84">
        <w:rPr>
          <w:rFonts w:ascii="Times New Roman" w:eastAsia="Times New Roman" w:hAnsi="Times New Roman" w:cs="Times New Roman"/>
          <w:sz w:val="28"/>
        </w:rPr>
        <w:t xml:space="preserve"> </w:t>
      </w:r>
      <w:r w:rsidR="00E17D62" w:rsidRPr="00A57B84">
        <w:rPr>
          <w:rFonts w:ascii="Times New Roman" w:eastAsia="Times New Roman" w:hAnsi="Times New Roman" w:cs="Times New Roman"/>
          <w:sz w:val="28"/>
        </w:rPr>
        <w:t xml:space="preserve">55 </w:t>
      </w:r>
      <w:r w:rsidR="00914DD8" w:rsidRPr="00A57B84">
        <w:rPr>
          <w:rFonts w:ascii="Times New Roman" w:eastAsia="Times New Roman" w:hAnsi="Times New Roman" w:cs="Times New Roman"/>
          <w:sz w:val="28"/>
        </w:rPr>
        <w:t>Obras de Artes Especiais</w:t>
      </w:r>
      <w:r w:rsidR="003B6BC7" w:rsidRPr="00A57B84">
        <w:rPr>
          <w:rFonts w:ascii="Times New Roman" w:eastAsia="Times New Roman" w:hAnsi="Times New Roman" w:cs="Times New Roman"/>
          <w:sz w:val="28"/>
        </w:rPr>
        <w:t xml:space="preserve"> </w:t>
      </w:r>
      <w:r>
        <w:rPr>
          <w:rFonts w:ascii="Times New Roman" w:eastAsia="Times New Roman" w:hAnsi="Times New Roman" w:cs="Times New Roman"/>
          <w:sz w:val="28"/>
        </w:rPr>
        <w:t>do Município (</w:t>
      </w:r>
      <w:r w:rsidR="003B6BC7">
        <w:rPr>
          <w:rFonts w:ascii="Times New Roman" w:eastAsia="Times New Roman" w:hAnsi="Times New Roman" w:cs="Times New Roman"/>
          <w:sz w:val="28"/>
        </w:rPr>
        <w:t>pontes, viadutos e passarelas</w:t>
      </w:r>
      <w:r>
        <w:rPr>
          <w:rFonts w:ascii="Times New Roman" w:eastAsia="Times New Roman" w:hAnsi="Times New Roman" w:cs="Times New Roman"/>
          <w:sz w:val="28"/>
        </w:rPr>
        <w:t>)</w:t>
      </w:r>
      <w:r w:rsidR="003B6BC7">
        <w:rPr>
          <w:rFonts w:ascii="Times New Roman" w:eastAsia="Times New Roman" w:hAnsi="Times New Roman" w:cs="Times New Roman"/>
          <w:sz w:val="28"/>
        </w:rPr>
        <w:t xml:space="preserve"> de extrema importância </w:t>
      </w:r>
      <w:r w:rsidR="00E4270C">
        <w:rPr>
          <w:rFonts w:ascii="Times New Roman" w:eastAsia="Times New Roman" w:hAnsi="Times New Roman" w:cs="Times New Roman"/>
          <w:sz w:val="28"/>
        </w:rPr>
        <w:t xml:space="preserve">para a Cidade de São Paulo, </w:t>
      </w:r>
      <w:r>
        <w:rPr>
          <w:rFonts w:ascii="Times New Roman" w:eastAsia="Times New Roman" w:hAnsi="Times New Roman" w:cs="Times New Roman"/>
          <w:sz w:val="28"/>
        </w:rPr>
        <w:t>tais como</w:t>
      </w:r>
      <w:r w:rsidR="00E4270C">
        <w:rPr>
          <w:rFonts w:ascii="Times New Roman" w:eastAsia="Times New Roman" w:hAnsi="Times New Roman" w:cs="Times New Roman"/>
          <w:sz w:val="28"/>
        </w:rPr>
        <w:t>: o</w:t>
      </w:r>
      <w:r w:rsidR="002F32A8" w:rsidRPr="00D56F18">
        <w:rPr>
          <w:rFonts w:ascii="Times New Roman" w:eastAsia="Times New Roman" w:hAnsi="Times New Roman" w:cs="Times New Roman"/>
          <w:sz w:val="28"/>
        </w:rPr>
        <w:t xml:space="preserve"> </w:t>
      </w:r>
      <w:r w:rsidR="00F53439" w:rsidRPr="00D56F18">
        <w:rPr>
          <w:rFonts w:ascii="Times New Roman" w:eastAsia="Times New Roman" w:hAnsi="Times New Roman" w:cs="Times New Roman"/>
          <w:sz w:val="28"/>
        </w:rPr>
        <w:lastRenderedPageBreak/>
        <w:t>Viaduto</w:t>
      </w:r>
      <w:r w:rsidR="009D52F8" w:rsidRPr="00D56F18">
        <w:rPr>
          <w:rFonts w:ascii="Times New Roman" w:eastAsia="Times New Roman" w:hAnsi="Times New Roman" w:cs="Times New Roman"/>
          <w:sz w:val="28"/>
        </w:rPr>
        <w:t xml:space="preserve"> D</w:t>
      </w:r>
      <w:r w:rsidR="00F53439" w:rsidRPr="00D56F18">
        <w:rPr>
          <w:rFonts w:ascii="Times New Roman" w:eastAsia="Times New Roman" w:hAnsi="Times New Roman" w:cs="Times New Roman"/>
          <w:sz w:val="28"/>
        </w:rPr>
        <w:t>omingo</w:t>
      </w:r>
      <w:r w:rsidR="009D52F8" w:rsidRPr="00D56F18">
        <w:rPr>
          <w:rFonts w:ascii="Times New Roman" w:eastAsia="Times New Roman" w:hAnsi="Times New Roman" w:cs="Times New Roman"/>
          <w:sz w:val="28"/>
        </w:rPr>
        <w:t xml:space="preserve"> </w:t>
      </w:r>
      <w:r w:rsidR="00F53439" w:rsidRPr="00D56F18">
        <w:rPr>
          <w:rFonts w:ascii="Times New Roman" w:eastAsia="Times New Roman" w:hAnsi="Times New Roman" w:cs="Times New Roman"/>
          <w:sz w:val="28"/>
        </w:rPr>
        <w:t>de Moraes</w:t>
      </w:r>
      <w:r w:rsidR="009D52F8" w:rsidRPr="00D56F18">
        <w:rPr>
          <w:rFonts w:ascii="Times New Roman" w:eastAsia="Times New Roman" w:hAnsi="Times New Roman" w:cs="Times New Roman"/>
          <w:sz w:val="28"/>
        </w:rPr>
        <w:t>, responsável pela</w:t>
      </w:r>
      <w:r w:rsidR="00305242" w:rsidRPr="00D56F18">
        <w:rPr>
          <w:rFonts w:ascii="Times New Roman" w:eastAsia="Times New Roman" w:hAnsi="Times New Roman" w:cs="Times New Roman"/>
          <w:sz w:val="28"/>
        </w:rPr>
        <w:t xml:space="preserve"> i</w:t>
      </w:r>
      <w:r w:rsidR="009D52F8" w:rsidRPr="00D56F18">
        <w:rPr>
          <w:rFonts w:ascii="Times New Roman" w:eastAsia="Times New Roman" w:hAnsi="Times New Roman" w:cs="Times New Roman"/>
          <w:sz w:val="28"/>
        </w:rPr>
        <w:t>nterligação entre a Ponte Attilio Fontana e a Rua Monte Pasc</w:t>
      </w:r>
      <w:r w:rsidR="00F53439" w:rsidRPr="00D56F18">
        <w:rPr>
          <w:rFonts w:ascii="Times New Roman" w:eastAsia="Times New Roman" w:hAnsi="Times New Roman" w:cs="Times New Roman"/>
          <w:sz w:val="28"/>
        </w:rPr>
        <w:t xml:space="preserve">oal sobre a CPTM - Alto da Lapa; </w:t>
      </w:r>
      <w:r w:rsidR="00D56F18" w:rsidRPr="00D56F18">
        <w:rPr>
          <w:rFonts w:ascii="Times New Roman" w:eastAsia="Times New Roman" w:hAnsi="Times New Roman" w:cs="Times New Roman"/>
          <w:sz w:val="28"/>
        </w:rPr>
        <w:t xml:space="preserve">o Viaduto do Chá, marco histórico da cidade responsável pela </w:t>
      </w:r>
      <w:r w:rsidR="00D56F18">
        <w:rPr>
          <w:rFonts w:ascii="Times New Roman" w:eastAsia="Times New Roman" w:hAnsi="Times New Roman" w:cs="Times New Roman"/>
          <w:sz w:val="28"/>
        </w:rPr>
        <w:t>i</w:t>
      </w:r>
      <w:r w:rsidR="00D56F18" w:rsidRPr="00D56F18">
        <w:rPr>
          <w:rFonts w:ascii="Times New Roman" w:eastAsia="Times New Roman" w:hAnsi="Times New Roman" w:cs="Times New Roman"/>
          <w:sz w:val="28"/>
        </w:rPr>
        <w:t xml:space="preserve">nterligação entre a Praça do Patriarca/Rua Líbero Badaró e a Rua Coronel Xavier de Toledo sobre o Vale do </w:t>
      </w:r>
      <w:r w:rsidR="00D56F18">
        <w:rPr>
          <w:rFonts w:ascii="Times New Roman" w:eastAsia="Times New Roman" w:hAnsi="Times New Roman" w:cs="Times New Roman"/>
          <w:sz w:val="28"/>
        </w:rPr>
        <w:t xml:space="preserve">Anhangabaú – Centro ou o </w:t>
      </w:r>
      <w:r w:rsidR="00AD0A0E" w:rsidRPr="00AD0A0E">
        <w:rPr>
          <w:rFonts w:ascii="Times New Roman" w:eastAsia="Times New Roman" w:hAnsi="Times New Roman" w:cs="Times New Roman"/>
          <w:sz w:val="28"/>
        </w:rPr>
        <w:t>Viaduto Brigadeiro Luiz Antônio</w:t>
      </w:r>
      <w:r w:rsidR="00AD0A0E">
        <w:rPr>
          <w:rFonts w:ascii="Times New Roman" w:eastAsia="Times New Roman" w:hAnsi="Times New Roman" w:cs="Times New Roman"/>
          <w:sz w:val="28"/>
        </w:rPr>
        <w:t xml:space="preserve">, responsável por interligar a </w:t>
      </w:r>
      <w:r w:rsidR="00AD0A0E" w:rsidRPr="00AD0A0E">
        <w:rPr>
          <w:rFonts w:ascii="Times New Roman" w:eastAsia="Times New Roman" w:hAnsi="Times New Roman" w:cs="Times New Roman"/>
          <w:sz w:val="28"/>
        </w:rPr>
        <w:t>Av. Brigadeiro Luiz Antônio com a R. Critóvão Colombo, sobre a Av. 23 de Maio.</w:t>
      </w:r>
    </w:p>
    <w:p w:rsidR="000659DA" w:rsidRPr="00FD3D5B" w:rsidRDefault="000659DA" w:rsidP="00600ED6">
      <w:pPr>
        <w:spacing w:before="0" w:line="276" w:lineRule="auto"/>
        <w:ind w:left="142" w:firstLine="1559"/>
        <w:jc w:val="both"/>
        <w:rPr>
          <w:rFonts w:ascii="Times New Roman" w:eastAsia="Times New Roman" w:hAnsi="Times New Roman" w:cs="Times New Roman"/>
          <w:color w:val="FF0000"/>
          <w:sz w:val="28"/>
        </w:rPr>
      </w:pPr>
    </w:p>
    <w:p w:rsidR="005900CB" w:rsidRPr="000338FE" w:rsidRDefault="00703349" w:rsidP="00600ED6">
      <w:pPr>
        <w:pStyle w:val="PargrafodaLista"/>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Por fim</w:t>
      </w:r>
      <w:r w:rsidR="005900CB" w:rsidRPr="000338FE">
        <w:rPr>
          <w:rFonts w:ascii="Times New Roman" w:eastAsia="Times New Roman" w:hAnsi="Times New Roman" w:cs="Times New Roman"/>
          <w:sz w:val="28"/>
        </w:rPr>
        <w:t xml:space="preserve">, </w:t>
      </w:r>
      <w:r w:rsidR="00A57B84">
        <w:rPr>
          <w:rFonts w:ascii="Times New Roman" w:eastAsia="Times New Roman" w:hAnsi="Times New Roman" w:cs="Times New Roman"/>
          <w:sz w:val="28"/>
        </w:rPr>
        <w:t xml:space="preserve">anoto que </w:t>
      </w:r>
      <w:r w:rsidR="005900CB" w:rsidRPr="000338FE">
        <w:rPr>
          <w:rFonts w:ascii="Times New Roman" w:eastAsia="Times New Roman" w:hAnsi="Times New Roman" w:cs="Times New Roman"/>
          <w:sz w:val="28"/>
        </w:rPr>
        <w:t>a alegada possibilidade de restri</w:t>
      </w:r>
      <w:r w:rsidR="00336A78">
        <w:rPr>
          <w:rFonts w:ascii="Times New Roman" w:eastAsia="Times New Roman" w:hAnsi="Times New Roman" w:cs="Times New Roman"/>
          <w:sz w:val="28"/>
        </w:rPr>
        <w:t xml:space="preserve">ção </w:t>
      </w:r>
      <w:r>
        <w:rPr>
          <w:rFonts w:ascii="Times New Roman" w:eastAsia="Times New Roman" w:hAnsi="Times New Roman" w:cs="Times New Roman"/>
          <w:sz w:val="28"/>
        </w:rPr>
        <w:t>à competitividade</w:t>
      </w:r>
      <w:r w:rsidR="005900CB" w:rsidRPr="000338FE">
        <w:rPr>
          <w:rFonts w:ascii="Times New Roman" w:eastAsia="Times New Roman" w:hAnsi="Times New Roman" w:cs="Times New Roman"/>
          <w:sz w:val="28"/>
        </w:rPr>
        <w:t xml:space="preserve"> resta </w:t>
      </w:r>
      <w:r w:rsidR="00A57B84">
        <w:rPr>
          <w:rFonts w:ascii="Times New Roman" w:eastAsia="Times New Roman" w:hAnsi="Times New Roman" w:cs="Times New Roman"/>
          <w:sz w:val="28"/>
        </w:rPr>
        <w:t xml:space="preserve">também </w:t>
      </w:r>
      <w:r w:rsidR="005900CB" w:rsidRPr="000338FE">
        <w:rPr>
          <w:rFonts w:ascii="Times New Roman" w:eastAsia="Times New Roman" w:hAnsi="Times New Roman" w:cs="Times New Roman"/>
          <w:sz w:val="28"/>
        </w:rPr>
        <w:t>mitigada</w:t>
      </w:r>
      <w:r w:rsidR="00A57B84">
        <w:rPr>
          <w:rFonts w:ascii="Times New Roman" w:eastAsia="Times New Roman" w:hAnsi="Times New Roman" w:cs="Times New Roman"/>
          <w:sz w:val="28"/>
        </w:rPr>
        <w:t xml:space="preserve"> diante da autorização constante dos Editais</w:t>
      </w:r>
      <w:r w:rsidR="005900CB" w:rsidRPr="000338FE">
        <w:rPr>
          <w:rFonts w:ascii="Times New Roman" w:eastAsia="Times New Roman" w:hAnsi="Times New Roman" w:cs="Times New Roman"/>
          <w:sz w:val="28"/>
        </w:rPr>
        <w:t xml:space="preserve"> d</w:t>
      </w:r>
      <w:r w:rsidR="00A57B84">
        <w:rPr>
          <w:rFonts w:ascii="Times New Roman" w:eastAsia="Times New Roman" w:hAnsi="Times New Roman" w:cs="Times New Roman"/>
          <w:sz w:val="28"/>
        </w:rPr>
        <w:t xml:space="preserve">e participação de consórcios com </w:t>
      </w:r>
      <w:r w:rsidR="005900CB" w:rsidRPr="000338FE">
        <w:rPr>
          <w:rFonts w:ascii="Times New Roman" w:eastAsia="Times New Roman" w:hAnsi="Times New Roman" w:cs="Times New Roman"/>
          <w:sz w:val="28"/>
        </w:rPr>
        <w:t>até 3</w:t>
      </w:r>
      <w:r w:rsidR="002B1DCA" w:rsidRPr="000338FE">
        <w:rPr>
          <w:rFonts w:ascii="Times New Roman" w:eastAsia="Times New Roman" w:hAnsi="Times New Roman" w:cs="Times New Roman"/>
          <w:sz w:val="28"/>
        </w:rPr>
        <w:t xml:space="preserve"> (três)</w:t>
      </w:r>
      <w:r w:rsidR="005900CB" w:rsidRPr="000338FE">
        <w:rPr>
          <w:rFonts w:ascii="Times New Roman" w:eastAsia="Times New Roman" w:hAnsi="Times New Roman" w:cs="Times New Roman"/>
          <w:sz w:val="28"/>
        </w:rPr>
        <w:t xml:space="preserve"> empresas, bem como diante da autorização de subcontratação de parte dos serviços, conforme cláusulas 3.4 e 14.1 do</w:t>
      </w:r>
      <w:r w:rsidR="000338FE" w:rsidRPr="000338FE">
        <w:rPr>
          <w:rFonts w:ascii="Times New Roman" w:eastAsia="Times New Roman" w:hAnsi="Times New Roman" w:cs="Times New Roman"/>
          <w:sz w:val="28"/>
        </w:rPr>
        <w:t>s</w:t>
      </w:r>
      <w:r w:rsidR="005900CB" w:rsidRPr="000338FE">
        <w:rPr>
          <w:rFonts w:ascii="Times New Roman" w:eastAsia="Times New Roman" w:hAnsi="Times New Roman" w:cs="Times New Roman"/>
          <w:sz w:val="28"/>
        </w:rPr>
        <w:t xml:space="preserve"> Edit</w:t>
      </w:r>
      <w:r w:rsidR="000338FE" w:rsidRPr="000338FE">
        <w:rPr>
          <w:rFonts w:ascii="Times New Roman" w:eastAsia="Times New Roman" w:hAnsi="Times New Roman" w:cs="Times New Roman"/>
          <w:sz w:val="28"/>
        </w:rPr>
        <w:t>ais</w:t>
      </w:r>
      <w:r w:rsidR="005900CB" w:rsidRPr="000338FE">
        <w:rPr>
          <w:rStyle w:val="Refdenotaderodap"/>
          <w:rFonts w:ascii="Times New Roman" w:eastAsia="Times New Roman" w:hAnsi="Times New Roman" w:cs="Times New Roman"/>
          <w:sz w:val="28"/>
        </w:rPr>
        <w:footnoteReference w:id="4"/>
      </w:r>
      <w:r w:rsidR="005900CB" w:rsidRPr="000338FE">
        <w:rPr>
          <w:rFonts w:ascii="Times New Roman" w:eastAsia="Times New Roman" w:hAnsi="Times New Roman" w:cs="Times New Roman"/>
          <w:sz w:val="28"/>
        </w:rPr>
        <w:t>.</w:t>
      </w:r>
    </w:p>
    <w:p w:rsidR="005900CB" w:rsidRDefault="005900CB" w:rsidP="005900CB">
      <w:pPr>
        <w:spacing w:before="0" w:line="276" w:lineRule="auto"/>
        <w:ind w:left="142" w:firstLine="1559"/>
        <w:jc w:val="both"/>
        <w:rPr>
          <w:rFonts w:ascii="Times New Roman" w:eastAsia="Times New Roman" w:hAnsi="Times New Roman" w:cs="Times New Roman"/>
          <w:sz w:val="28"/>
        </w:rPr>
      </w:pPr>
    </w:p>
    <w:p w:rsidR="005900CB" w:rsidRDefault="005900CB" w:rsidP="005900CB">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Por tais razões, </w:t>
      </w:r>
      <w:r w:rsidR="009D6D61">
        <w:rPr>
          <w:rFonts w:ascii="Times New Roman" w:eastAsia="Times New Roman" w:hAnsi="Times New Roman" w:cs="Times New Roman"/>
          <w:sz w:val="28"/>
        </w:rPr>
        <w:t xml:space="preserve">entendo como </w:t>
      </w:r>
      <w:r>
        <w:rPr>
          <w:rFonts w:ascii="Times New Roman" w:eastAsia="Times New Roman" w:hAnsi="Times New Roman" w:cs="Times New Roman"/>
          <w:sz w:val="28"/>
        </w:rPr>
        <w:t>superado o apontamento.</w:t>
      </w:r>
    </w:p>
    <w:p w:rsidR="00A25542" w:rsidRPr="0091595D" w:rsidRDefault="00A25542" w:rsidP="0091595D">
      <w:pPr>
        <w:spacing w:before="0" w:line="276" w:lineRule="auto"/>
        <w:jc w:val="both"/>
        <w:rPr>
          <w:rFonts w:ascii="Times New Roman" w:eastAsia="Times New Roman" w:hAnsi="Times New Roman" w:cs="Times New Roman"/>
          <w:sz w:val="28"/>
        </w:rPr>
      </w:pPr>
    </w:p>
    <w:p w:rsidR="006C3369" w:rsidRPr="0091595D" w:rsidRDefault="009D6D61" w:rsidP="0091595D">
      <w:pPr>
        <w:pStyle w:val="PargrafodaLista"/>
        <w:numPr>
          <w:ilvl w:val="0"/>
          <w:numId w:val="29"/>
        </w:numPr>
        <w:spacing w:before="0" w:line="276" w:lineRule="auto"/>
        <w:jc w:val="both"/>
        <w:rPr>
          <w:rFonts w:ascii="Times New Roman" w:eastAsia="Times New Roman" w:hAnsi="Times New Roman" w:cs="Times New Roman"/>
          <w:b/>
          <w:sz w:val="28"/>
        </w:rPr>
      </w:pPr>
      <w:r>
        <w:rPr>
          <w:rFonts w:ascii="Times New Roman" w:eastAsia="Times New Roman" w:hAnsi="Times New Roman" w:cs="Times New Roman"/>
          <w:b/>
          <w:sz w:val="28"/>
        </w:rPr>
        <w:t>Projeto Básico</w:t>
      </w:r>
      <w:r w:rsidR="00285ED7" w:rsidRPr="00335787">
        <w:rPr>
          <w:rFonts w:ascii="Times New Roman" w:eastAsia="Times New Roman" w:hAnsi="Times New Roman" w:cs="Times New Roman"/>
          <w:b/>
          <w:sz w:val="28"/>
        </w:rPr>
        <w:t xml:space="preserve"> (5.3)</w:t>
      </w:r>
    </w:p>
    <w:p w:rsidR="00285ED7" w:rsidRDefault="00285ED7" w:rsidP="006C3369">
      <w:pPr>
        <w:pStyle w:val="PargrafodaLista"/>
        <w:spacing w:before="0" w:line="276" w:lineRule="auto"/>
        <w:ind w:left="0" w:firstLine="1701"/>
        <w:jc w:val="both"/>
        <w:rPr>
          <w:rFonts w:ascii="Times New Roman" w:eastAsia="Times New Roman" w:hAnsi="Times New Roman" w:cs="Times New Roman"/>
          <w:sz w:val="28"/>
        </w:rPr>
      </w:pPr>
    </w:p>
    <w:p w:rsidR="003A629B" w:rsidRDefault="003A629B" w:rsidP="00600ED6">
      <w:pPr>
        <w:pStyle w:val="PargrafodaLista"/>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A crítica feita pela Auditoria foi no sentido de que a redação dada ao subitem 8.1.2 do Edital mostrava-se indicativa de que haveria, de forma indevida, </w:t>
      </w:r>
      <w:r w:rsidR="006C3369" w:rsidRPr="006C3369">
        <w:rPr>
          <w:rFonts w:ascii="Times New Roman" w:eastAsia="Times New Roman" w:hAnsi="Times New Roman" w:cs="Times New Roman"/>
          <w:sz w:val="28"/>
        </w:rPr>
        <w:t>a transferência ao licitante quanto ao conhecimento do escopo licitado</w:t>
      </w:r>
      <w:r>
        <w:rPr>
          <w:rFonts w:ascii="Times New Roman" w:eastAsia="Times New Roman" w:hAnsi="Times New Roman" w:cs="Times New Roman"/>
          <w:sz w:val="28"/>
        </w:rPr>
        <w:t>, confrontando com a ideia de</w:t>
      </w:r>
      <w:r w:rsidR="006C3369" w:rsidRPr="006C3369">
        <w:rPr>
          <w:rFonts w:ascii="Times New Roman" w:eastAsia="Times New Roman" w:hAnsi="Times New Roman" w:cs="Times New Roman"/>
          <w:sz w:val="28"/>
        </w:rPr>
        <w:t xml:space="preserve"> clareza e transparência na descrição do objeto</w:t>
      </w:r>
      <w:r>
        <w:rPr>
          <w:rFonts w:ascii="Times New Roman" w:eastAsia="Times New Roman" w:hAnsi="Times New Roman" w:cs="Times New Roman"/>
          <w:sz w:val="28"/>
        </w:rPr>
        <w:t>, conforme determinado no inc. I, do §2º, do art. 7º da Lei 8.666/93.</w:t>
      </w:r>
    </w:p>
    <w:p w:rsidR="0033727D" w:rsidRDefault="0033727D" w:rsidP="0033727D">
      <w:pPr>
        <w:pStyle w:val="PargrafodaLista"/>
        <w:spacing w:before="0" w:line="276" w:lineRule="auto"/>
        <w:ind w:left="142" w:firstLine="1559"/>
        <w:jc w:val="both"/>
        <w:rPr>
          <w:rFonts w:ascii="Times New Roman" w:eastAsia="Times New Roman" w:hAnsi="Times New Roman" w:cs="Times New Roman"/>
          <w:sz w:val="28"/>
        </w:rPr>
      </w:pPr>
    </w:p>
    <w:p w:rsidR="00CA130A" w:rsidRDefault="00CA130A" w:rsidP="0033727D">
      <w:pPr>
        <w:pStyle w:val="PargrafodaLista"/>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A Especializada entendeu que os</w:t>
      </w:r>
      <w:r w:rsidRPr="003654BE">
        <w:rPr>
          <w:rFonts w:ascii="Times New Roman" w:eastAsia="Times New Roman" w:hAnsi="Times New Roman" w:cs="Times New Roman"/>
          <w:sz w:val="28"/>
        </w:rPr>
        <w:t xml:space="preserve"> quesitos de avaliação da nota de “Conheci</w:t>
      </w:r>
      <w:r>
        <w:rPr>
          <w:rFonts w:ascii="Times New Roman" w:eastAsia="Times New Roman" w:hAnsi="Times New Roman" w:cs="Times New Roman"/>
          <w:sz w:val="28"/>
        </w:rPr>
        <w:t>mento do Problema” (Tópico NT1)</w:t>
      </w:r>
      <w:r w:rsidRPr="003654BE">
        <w:rPr>
          <w:rFonts w:ascii="Times New Roman" w:eastAsia="Times New Roman" w:hAnsi="Times New Roman" w:cs="Times New Roman"/>
          <w:sz w:val="28"/>
        </w:rPr>
        <w:t xml:space="preserve"> sobre a descrição geral do escopo e análise das condições para inspeção (quesitos NT1a e NT1b),</w:t>
      </w:r>
      <w:r>
        <w:rPr>
          <w:rFonts w:ascii="Times New Roman" w:eastAsia="Times New Roman" w:hAnsi="Times New Roman" w:cs="Times New Roman"/>
          <w:sz w:val="28"/>
        </w:rPr>
        <w:t xml:space="preserve"> </w:t>
      </w:r>
      <w:r w:rsidRPr="003654BE">
        <w:rPr>
          <w:rFonts w:ascii="Times New Roman" w:eastAsia="Times New Roman" w:hAnsi="Times New Roman" w:cs="Times New Roman"/>
          <w:sz w:val="28"/>
        </w:rPr>
        <w:lastRenderedPageBreak/>
        <w:t>dependem de informações que deveriam constar de cadastros públicos ou dependem de inspeção prévia e consulta à autoridade de trânsito (entidade ligada ao Poder Público).</w:t>
      </w:r>
      <w:r>
        <w:rPr>
          <w:rFonts w:ascii="Times New Roman" w:eastAsia="Times New Roman" w:hAnsi="Times New Roman" w:cs="Times New Roman"/>
          <w:sz w:val="28"/>
        </w:rPr>
        <w:t xml:space="preserve"> Exemplificou, ainda, que </w:t>
      </w:r>
      <w:r w:rsidRPr="00692516">
        <w:rPr>
          <w:rFonts w:ascii="Times New Roman" w:eastAsia="Times New Roman" w:hAnsi="Times New Roman" w:cs="Times New Roman"/>
          <w:sz w:val="28"/>
        </w:rPr>
        <w:t>trechos com impedimentos à interdição de tráfego ou limitações de horário para interdição são uma condição opera</w:t>
      </w:r>
      <w:r>
        <w:rPr>
          <w:rFonts w:ascii="Times New Roman" w:eastAsia="Times New Roman" w:hAnsi="Times New Roman" w:cs="Times New Roman"/>
          <w:sz w:val="28"/>
        </w:rPr>
        <w:t>cional da Municipalidade e deveriam</w:t>
      </w:r>
      <w:r w:rsidRPr="00692516">
        <w:rPr>
          <w:rFonts w:ascii="Times New Roman" w:eastAsia="Times New Roman" w:hAnsi="Times New Roman" w:cs="Times New Roman"/>
          <w:sz w:val="28"/>
        </w:rPr>
        <w:t xml:space="preserve"> ser previamente conhecidos por todos os licitantes, pois a detentora dessa informação é a própria Municipalidade, por meio dos seus órgãos e empresas gestoras do trânsito e do transporte público.</w:t>
      </w:r>
    </w:p>
    <w:p w:rsidR="00CA130A" w:rsidRPr="00502A2B" w:rsidRDefault="00CA130A" w:rsidP="00600ED6">
      <w:pPr>
        <w:pStyle w:val="PargrafodaLista"/>
        <w:spacing w:before="0" w:line="276" w:lineRule="auto"/>
        <w:ind w:left="142" w:firstLine="1559"/>
        <w:jc w:val="both"/>
        <w:rPr>
          <w:rFonts w:ascii="Times New Roman" w:eastAsia="Times New Roman" w:hAnsi="Times New Roman" w:cs="Times New Roman"/>
          <w:sz w:val="28"/>
        </w:rPr>
      </w:pPr>
    </w:p>
    <w:p w:rsidR="003A629B" w:rsidRPr="00CA130A" w:rsidRDefault="00336A78" w:rsidP="00CA130A">
      <w:pPr>
        <w:pStyle w:val="PargrafodaLista"/>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Na</w:t>
      </w:r>
      <w:r w:rsidR="003A629B" w:rsidRPr="00502A2B">
        <w:rPr>
          <w:rFonts w:ascii="Times New Roman" w:eastAsia="Times New Roman" w:hAnsi="Times New Roman" w:cs="Times New Roman"/>
          <w:sz w:val="28"/>
        </w:rPr>
        <w:t xml:space="preserve"> </w:t>
      </w:r>
      <w:r w:rsidR="00CA130A">
        <w:rPr>
          <w:rFonts w:ascii="Times New Roman" w:eastAsia="Times New Roman" w:hAnsi="Times New Roman" w:cs="Times New Roman"/>
          <w:sz w:val="28"/>
        </w:rPr>
        <w:t xml:space="preserve">última </w:t>
      </w:r>
      <w:r w:rsidR="003A629B" w:rsidRPr="00502A2B">
        <w:rPr>
          <w:rFonts w:ascii="Times New Roman" w:eastAsia="Times New Roman" w:hAnsi="Times New Roman" w:cs="Times New Roman"/>
          <w:sz w:val="28"/>
        </w:rPr>
        <w:t xml:space="preserve">justificativa </w:t>
      </w:r>
      <w:r w:rsidR="00CA130A">
        <w:rPr>
          <w:rFonts w:ascii="Times New Roman" w:eastAsia="Times New Roman" w:hAnsi="Times New Roman" w:cs="Times New Roman"/>
          <w:sz w:val="28"/>
        </w:rPr>
        <w:t>trazida pela Origem</w:t>
      </w:r>
      <w:r w:rsidR="003A629B" w:rsidRPr="00502A2B">
        <w:rPr>
          <w:rFonts w:ascii="Times New Roman" w:eastAsia="Times New Roman" w:hAnsi="Times New Roman" w:cs="Times New Roman"/>
          <w:sz w:val="28"/>
        </w:rPr>
        <w:t xml:space="preserve"> (peça </w:t>
      </w:r>
      <w:r w:rsidR="005D3116" w:rsidRPr="00502A2B">
        <w:rPr>
          <w:rFonts w:ascii="Times New Roman" w:eastAsia="Times New Roman" w:hAnsi="Times New Roman" w:cs="Times New Roman"/>
          <w:sz w:val="28"/>
        </w:rPr>
        <w:t>83</w:t>
      </w:r>
      <w:r w:rsidR="00502A2B">
        <w:rPr>
          <w:rFonts w:ascii="Times New Roman" w:eastAsia="Times New Roman" w:hAnsi="Times New Roman" w:cs="Times New Roman"/>
          <w:sz w:val="28"/>
        </w:rPr>
        <w:t xml:space="preserve"> do TC 11493/2019</w:t>
      </w:r>
      <w:r w:rsidR="003A629B" w:rsidRPr="00502A2B">
        <w:rPr>
          <w:rFonts w:ascii="Times New Roman" w:eastAsia="Times New Roman" w:hAnsi="Times New Roman" w:cs="Times New Roman"/>
          <w:sz w:val="28"/>
        </w:rPr>
        <w:t>),</w:t>
      </w:r>
      <w:r w:rsidR="003A629B">
        <w:rPr>
          <w:rFonts w:ascii="Times New Roman" w:eastAsia="Times New Roman" w:hAnsi="Times New Roman" w:cs="Times New Roman"/>
          <w:sz w:val="28"/>
        </w:rPr>
        <w:t xml:space="preserve"> </w:t>
      </w:r>
      <w:r w:rsidR="000D4026">
        <w:rPr>
          <w:rFonts w:ascii="Times New Roman" w:eastAsia="Times New Roman" w:hAnsi="Times New Roman" w:cs="Times New Roman"/>
          <w:sz w:val="28"/>
        </w:rPr>
        <w:t>em que pese tenha</w:t>
      </w:r>
      <w:r w:rsidR="00CA130A">
        <w:rPr>
          <w:rFonts w:ascii="Times New Roman" w:eastAsia="Times New Roman" w:hAnsi="Times New Roman" w:cs="Times New Roman"/>
          <w:sz w:val="28"/>
        </w:rPr>
        <w:t xml:space="preserve"> defendido a inexistência de </w:t>
      </w:r>
      <w:r w:rsidR="000D4026">
        <w:rPr>
          <w:rFonts w:ascii="Times New Roman" w:eastAsia="Times New Roman" w:hAnsi="Times New Roman" w:cs="Times New Roman"/>
          <w:sz w:val="28"/>
        </w:rPr>
        <w:t>qualquer infringência à</w:t>
      </w:r>
      <w:r w:rsidR="00CA130A" w:rsidRPr="00CA130A">
        <w:rPr>
          <w:rFonts w:ascii="Times New Roman" w:eastAsia="Times New Roman" w:hAnsi="Times New Roman" w:cs="Times New Roman"/>
          <w:sz w:val="28"/>
        </w:rPr>
        <w:t xml:space="preserve"> Lei 8.666/93, trouxe proposta de alteraç</w:t>
      </w:r>
      <w:r w:rsidR="00CA130A">
        <w:rPr>
          <w:rFonts w:ascii="Times New Roman" w:eastAsia="Times New Roman" w:hAnsi="Times New Roman" w:cs="Times New Roman"/>
          <w:sz w:val="28"/>
        </w:rPr>
        <w:t>ão do</w:t>
      </w:r>
      <w:r w:rsidR="00CA130A" w:rsidRPr="00CA130A">
        <w:rPr>
          <w:rFonts w:ascii="Times New Roman" w:eastAsia="Times New Roman" w:hAnsi="Times New Roman" w:cs="Times New Roman"/>
          <w:sz w:val="28"/>
        </w:rPr>
        <w:t xml:space="preserve"> item 8.1.2 da Proposta Técnica</w:t>
      </w:r>
      <w:r w:rsidR="00CA130A">
        <w:rPr>
          <w:rFonts w:ascii="Times New Roman" w:eastAsia="Times New Roman" w:hAnsi="Times New Roman" w:cs="Times New Roman"/>
          <w:sz w:val="28"/>
        </w:rPr>
        <w:t xml:space="preserve"> visando aclarar seu conteúdo</w:t>
      </w:r>
      <w:r w:rsidR="003A629B" w:rsidRPr="00CA130A">
        <w:rPr>
          <w:rFonts w:ascii="Times New Roman" w:eastAsia="Times New Roman" w:hAnsi="Times New Roman" w:cs="Times New Roman"/>
          <w:sz w:val="28"/>
        </w:rPr>
        <w:t xml:space="preserve">, </w:t>
      </w:r>
      <w:r w:rsidR="00CA130A" w:rsidRPr="00CA130A">
        <w:rPr>
          <w:rFonts w:ascii="Times New Roman" w:eastAsia="Times New Roman" w:hAnsi="Times New Roman" w:cs="Times New Roman"/>
          <w:sz w:val="28"/>
        </w:rPr>
        <w:t>com as</w:t>
      </w:r>
      <w:r w:rsidR="00502A2B" w:rsidRPr="00CA130A">
        <w:rPr>
          <w:rFonts w:ascii="Times New Roman" w:eastAsia="Times New Roman" w:hAnsi="Times New Roman" w:cs="Times New Roman"/>
          <w:sz w:val="28"/>
        </w:rPr>
        <w:t xml:space="preserve"> seguintes considerações</w:t>
      </w:r>
      <w:r w:rsidR="00B82FC1" w:rsidRPr="00CA130A">
        <w:rPr>
          <w:rFonts w:ascii="Times New Roman" w:eastAsia="Times New Roman" w:hAnsi="Times New Roman" w:cs="Times New Roman"/>
          <w:sz w:val="28"/>
        </w:rPr>
        <w:t>:</w:t>
      </w:r>
    </w:p>
    <w:p w:rsidR="00B82FC1" w:rsidRDefault="00B82FC1" w:rsidP="006C3369">
      <w:pPr>
        <w:pStyle w:val="PargrafodaLista"/>
        <w:spacing w:before="0" w:line="276" w:lineRule="auto"/>
        <w:ind w:left="0" w:firstLine="1701"/>
        <w:jc w:val="both"/>
        <w:rPr>
          <w:rFonts w:ascii="Times New Roman" w:eastAsia="Times New Roman" w:hAnsi="Times New Roman" w:cs="Times New Roman"/>
          <w:sz w:val="28"/>
        </w:rPr>
      </w:pPr>
    </w:p>
    <w:p w:rsidR="00FE6625" w:rsidRPr="00DE0372" w:rsidRDefault="00DE0372" w:rsidP="00DE0372">
      <w:pPr>
        <w:pStyle w:val="Default"/>
        <w:ind w:left="2268"/>
        <w:rPr>
          <w:rFonts w:asciiTheme="minorHAnsi" w:eastAsiaTheme="minorHAnsi" w:hAnsiTheme="minorHAnsi" w:cstheme="minorBidi"/>
          <w:i/>
          <w:color w:val="auto"/>
          <w:sz w:val="22"/>
          <w:szCs w:val="22"/>
          <w:lang w:eastAsia="en-US"/>
        </w:rPr>
      </w:pPr>
      <w:r>
        <w:rPr>
          <w:rFonts w:asciiTheme="minorHAnsi" w:eastAsiaTheme="minorHAnsi" w:hAnsiTheme="minorHAnsi" w:cstheme="minorBidi"/>
          <w:i/>
          <w:color w:val="auto"/>
          <w:sz w:val="22"/>
          <w:szCs w:val="22"/>
          <w:lang w:eastAsia="en-US"/>
        </w:rPr>
        <w:t>“</w:t>
      </w:r>
      <w:r w:rsidR="00FE6625" w:rsidRPr="00DE0372">
        <w:rPr>
          <w:rFonts w:asciiTheme="minorHAnsi" w:eastAsiaTheme="minorHAnsi" w:hAnsiTheme="minorHAnsi" w:cstheme="minorBidi"/>
          <w:i/>
          <w:color w:val="auto"/>
          <w:sz w:val="22"/>
          <w:szCs w:val="22"/>
          <w:lang w:eastAsia="en-US"/>
        </w:rPr>
        <w:t xml:space="preserve">A avaliação da Auditoria do TCM foi alicerçada exclusivamente sobre a leitura isolada dos componentes NT1a e NT1b do subitem 8.1.2 do Edital. </w:t>
      </w:r>
    </w:p>
    <w:p w:rsidR="005D3116" w:rsidRDefault="00FE6625" w:rsidP="00DE0372">
      <w:pPr>
        <w:pStyle w:val="PargrafodaLista"/>
        <w:spacing w:before="0" w:line="276" w:lineRule="auto"/>
        <w:ind w:left="2268"/>
        <w:jc w:val="both"/>
        <w:rPr>
          <w:rFonts w:asciiTheme="minorHAnsi" w:eastAsiaTheme="minorHAnsi" w:hAnsiTheme="minorHAnsi"/>
          <w:i/>
          <w:sz w:val="22"/>
          <w:szCs w:val="22"/>
          <w:lang w:eastAsia="en-US"/>
        </w:rPr>
      </w:pPr>
      <w:r w:rsidRPr="00DE0372">
        <w:rPr>
          <w:rFonts w:asciiTheme="minorHAnsi" w:eastAsiaTheme="minorHAnsi" w:hAnsiTheme="minorHAnsi"/>
          <w:i/>
          <w:sz w:val="22"/>
          <w:szCs w:val="22"/>
          <w:lang w:eastAsia="en-US"/>
        </w:rPr>
        <w:t xml:space="preserve">A Administração, em cumprimento da legislação, apresentou e disponibilizou através do Edital e seus anexos </w:t>
      </w:r>
      <w:r w:rsidRPr="001264AF">
        <w:rPr>
          <w:rFonts w:asciiTheme="minorHAnsi" w:eastAsiaTheme="minorHAnsi" w:hAnsiTheme="minorHAnsi"/>
          <w:b/>
          <w:i/>
          <w:sz w:val="22"/>
          <w:szCs w:val="22"/>
          <w:lang w:eastAsia="en-US"/>
        </w:rPr>
        <w:t>a descrição completa e precisa do escopo do contrato e todos os elementos necessários à plena compreensão e formulação das propostas, tais como: os relatórios de inspeção do ano de 2012 e as mais recentes do ano de 2019, bem como de cópias de partes dos projetos, de forma a eliminar qualquer assimetria de informação</w:t>
      </w:r>
      <w:r w:rsidRPr="00DE0372">
        <w:rPr>
          <w:rFonts w:asciiTheme="minorHAnsi" w:eastAsiaTheme="minorHAnsi" w:hAnsiTheme="minorHAnsi"/>
          <w:i/>
          <w:sz w:val="22"/>
          <w:szCs w:val="22"/>
          <w:lang w:eastAsia="en-US"/>
        </w:rPr>
        <w:t>.</w:t>
      </w:r>
      <w:r w:rsidR="005D3116">
        <w:rPr>
          <w:rFonts w:asciiTheme="minorHAnsi" w:eastAsiaTheme="minorHAnsi" w:hAnsiTheme="minorHAnsi"/>
          <w:i/>
          <w:sz w:val="22"/>
          <w:szCs w:val="22"/>
          <w:lang w:eastAsia="en-US"/>
        </w:rPr>
        <w:t>..</w:t>
      </w:r>
    </w:p>
    <w:p w:rsidR="00692516" w:rsidRDefault="005D3116" w:rsidP="00CA130A">
      <w:pPr>
        <w:pStyle w:val="PargrafodaLista"/>
        <w:spacing w:before="0" w:line="276" w:lineRule="auto"/>
        <w:ind w:left="2268"/>
        <w:jc w:val="both"/>
        <w:rPr>
          <w:rFonts w:asciiTheme="minorHAnsi" w:eastAsiaTheme="minorHAnsi" w:hAnsiTheme="minorHAnsi"/>
          <w:i/>
          <w:sz w:val="22"/>
          <w:szCs w:val="22"/>
          <w:lang w:eastAsia="en-US"/>
        </w:rPr>
      </w:pPr>
      <w:r>
        <w:rPr>
          <w:rFonts w:asciiTheme="minorHAnsi" w:eastAsiaTheme="minorHAnsi" w:hAnsiTheme="minorHAnsi"/>
          <w:i/>
          <w:sz w:val="22"/>
          <w:szCs w:val="22"/>
          <w:lang w:eastAsia="en-US"/>
        </w:rPr>
        <w:t>...</w:t>
      </w:r>
      <w:r w:rsidRPr="005D3116">
        <w:t xml:space="preserve"> </w:t>
      </w:r>
      <w:r w:rsidRPr="005D3116">
        <w:rPr>
          <w:rFonts w:asciiTheme="minorHAnsi" w:eastAsiaTheme="minorHAnsi" w:hAnsiTheme="minorHAnsi"/>
          <w:i/>
          <w:sz w:val="22"/>
          <w:szCs w:val="22"/>
          <w:lang w:eastAsia="en-US"/>
        </w:rPr>
        <w:t>Portanto, a descrição geral do escopo contratado (tipo de inspeção, localização, características específicas da OAE e especialidades envolvidas) e dificuldades de acesso para realizar as inspeções e interferências no trânsito da região, não tratam de transferir ao licitante a tarefa de conhecer o escopo licitado, mas sim, que aquele demostre a sua adequada compreensão das informações disponibilizadas e da visita realizada ao local, que nada mais é do que a transformação de dados em conhecimento. Ressalta-se que apenas a correta compreensão das condições de contorno do trabalho poderá resultar em uma solução técnica (metodologia, organização, estipulação de tecnologias, recursos materiais e humanos) adequada às condições de realização dos serviços, na qualidade requisitada pela</w:t>
      </w:r>
      <w:r>
        <w:rPr>
          <w:rFonts w:asciiTheme="minorHAnsi" w:eastAsiaTheme="minorHAnsi" w:hAnsiTheme="minorHAnsi"/>
          <w:i/>
          <w:sz w:val="22"/>
          <w:szCs w:val="22"/>
          <w:lang w:eastAsia="en-US"/>
        </w:rPr>
        <w:t xml:space="preserve"> </w:t>
      </w:r>
      <w:r w:rsidRPr="005D3116">
        <w:rPr>
          <w:rFonts w:asciiTheme="minorHAnsi" w:eastAsiaTheme="minorHAnsi" w:hAnsiTheme="minorHAnsi"/>
          <w:i/>
          <w:sz w:val="22"/>
          <w:szCs w:val="22"/>
          <w:lang w:eastAsia="en-US"/>
        </w:rPr>
        <w:t>Administração, estando em estrita consonância com a previsão legal do artigo 46 da Lei 8.666/93.</w:t>
      </w:r>
      <w:r w:rsidR="00DE0372">
        <w:rPr>
          <w:rFonts w:asciiTheme="minorHAnsi" w:eastAsiaTheme="minorHAnsi" w:hAnsiTheme="minorHAnsi"/>
          <w:i/>
          <w:sz w:val="22"/>
          <w:szCs w:val="22"/>
          <w:lang w:eastAsia="en-US"/>
        </w:rPr>
        <w:t>”</w:t>
      </w:r>
    </w:p>
    <w:p w:rsidR="001825CA" w:rsidRPr="00CA130A" w:rsidRDefault="001825CA" w:rsidP="00CA130A">
      <w:pPr>
        <w:pStyle w:val="PargrafodaLista"/>
        <w:spacing w:before="0" w:line="276" w:lineRule="auto"/>
        <w:ind w:left="2268"/>
        <w:jc w:val="both"/>
        <w:rPr>
          <w:rFonts w:asciiTheme="minorHAnsi" w:eastAsiaTheme="minorHAnsi" w:hAnsiTheme="minorHAnsi"/>
          <w:i/>
          <w:sz w:val="22"/>
          <w:szCs w:val="22"/>
          <w:lang w:eastAsia="en-US"/>
        </w:rPr>
      </w:pPr>
    </w:p>
    <w:p w:rsidR="003C2BEC" w:rsidRDefault="00CA130A" w:rsidP="00CA130A">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Diante dos esclarecimentos prestados, </w:t>
      </w:r>
      <w:r w:rsidR="000D4026">
        <w:rPr>
          <w:rFonts w:ascii="Times New Roman" w:eastAsia="Times New Roman" w:hAnsi="Times New Roman" w:cs="Times New Roman"/>
          <w:sz w:val="28"/>
        </w:rPr>
        <w:t>incluino-me</w:t>
      </w:r>
      <w:r w:rsidR="00600ED6">
        <w:rPr>
          <w:rFonts w:ascii="Times New Roman" w:eastAsia="Times New Roman" w:hAnsi="Times New Roman" w:cs="Times New Roman"/>
          <w:sz w:val="28"/>
        </w:rPr>
        <w:t xml:space="preserve"> a não aco</w:t>
      </w:r>
      <w:r>
        <w:rPr>
          <w:rFonts w:ascii="Times New Roman" w:eastAsia="Times New Roman" w:hAnsi="Times New Roman" w:cs="Times New Roman"/>
          <w:sz w:val="28"/>
        </w:rPr>
        <w:t xml:space="preserve">lher os argumentos da Auditoria, tendo presente </w:t>
      </w:r>
      <w:r w:rsidR="00336A78">
        <w:rPr>
          <w:rFonts w:ascii="Times New Roman" w:eastAsia="Times New Roman" w:hAnsi="Times New Roman" w:cs="Times New Roman"/>
          <w:sz w:val="28"/>
        </w:rPr>
        <w:t>u</w:t>
      </w:r>
      <w:r w:rsidR="00600ED6">
        <w:rPr>
          <w:rFonts w:ascii="Times New Roman" w:eastAsia="Times New Roman" w:hAnsi="Times New Roman" w:cs="Times New Roman"/>
          <w:sz w:val="28"/>
        </w:rPr>
        <w:t>ma</w:t>
      </w:r>
      <w:r w:rsidR="00B23FB7">
        <w:rPr>
          <w:rFonts w:ascii="Times New Roman" w:eastAsia="Times New Roman" w:hAnsi="Times New Roman" w:cs="Times New Roman"/>
          <w:sz w:val="28"/>
        </w:rPr>
        <w:t xml:space="preserve"> análise mais detida dos itens</w:t>
      </w:r>
      <w:r w:rsidR="0033727D">
        <w:rPr>
          <w:rFonts w:ascii="Times New Roman" w:eastAsia="Times New Roman" w:hAnsi="Times New Roman" w:cs="Times New Roman"/>
          <w:sz w:val="28"/>
        </w:rPr>
        <w:t xml:space="preserve"> </w:t>
      </w:r>
      <w:r w:rsidR="00B23FB7">
        <w:rPr>
          <w:rFonts w:ascii="Times New Roman" w:eastAsia="Times New Roman" w:hAnsi="Times New Roman" w:cs="Times New Roman"/>
          <w:sz w:val="28"/>
        </w:rPr>
        <w:t>que compõem o</w:t>
      </w:r>
      <w:r w:rsidR="001264AF">
        <w:rPr>
          <w:rFonts w:ascii="Times New Roman" w:eastAsia="Times New Roman" w:hAnsi="Times New Roman" w:cs="Times New Roman"/>
          <w:sz w:val="28"/>
        </w:rPr>
        <w:t xml:space="preserve"> tópico da nota</w:t>
      </w:r>
      <w:r w:rsidR="00B23FB7">
        <w:rPr>
          <w:rFonts w:ascii="Times New Roman" w:eastAsia="Times New Roman" w:hAnsi="Times New Roman" w:cs="Times New Roman"/>
          <w:sz w:val="28"/>
        </w:rPr>
        <w:t xml:space="preserve"> </w:t>
      </w:r>
      <w:r w:rsidR="00B23FB7" w:rsidRPr="003654BE">
        <w:rPr>
          <w:rFonts w:ascii="Times New Roman" w:eastAsia="Times New Roman" w:hAnsi="Times New Roman" w:cs="Times New Roman"/>
          <w:sz w:val="28"/>
        </w:rPr>
        <w:t>“Conheci</w:t>
      </w:r>
      <w:r w:rsidR="00B23FB7">
        <w:rPr>
          <w:rFonts w:ascii="Times New Roman" w:eastAsia="Times New Roman" w:hAnsi="Times New Roman" w:cs="Times New Roman"/>
          <w:sz w:val="28"/>
        </w:rPr>
        <w:t>mento do Problema” (Tópico NT1)</w:t>
      </w:r>
      <w:r>
        <w:rPr>
          <w:rFonts w:ascii="Times New Roman" w:eastAsia="Times New Roman" w:hAnsi="Times New Roman" w:cs="Times New Roman"/>
          <w:sz w:val="28"/>
        </w:rPr>
        <w:t>, nos seguintes termos</w:t>
      </w:r>
      <w:r w:rsidR="00B23FB7">
        <w:rPr>
          <w:rFonts w:ascii="Times New Roman" w:eastAsia="Times New Roman" w:hAnsi="Times New Roman" w:cs="Times New Roman"/>
          <w:sz w:val="28"/>
        </w:rPr>
        <w:t>:</w:t>
      </w:r>
    </w:p>
    <w:p w:rsidR="00B23FB7" w:rsidRDefault="00B23FB7" w:rsidP="0008448B">
      <w:pPr>
        <w:spacing w:before="0" w:line="276" w:lineRule="auto"/>
        <w:jc w:val="both"/>
        <w:rPr>
          <w:rFonts w:ascii="Times New Roman" w:eastAsia="Times New Roman" w:hAnsi="Times New Roman" w:cs="Times New Roman"/>
          <w:sz w:val="28"/>
        </w:rPr>
      </w:pPr>
    </w:p>
    <w:p w:rsidR="003C2BEC" w:rsidRPr="00B23FB7" w:rsidRDefault="003C2BEC" w:rsidP="00B23FB7">
      <w:pPr>
        <w:numPr>
          <w:ilvl w:val="0"/>
          <w:numId w:val="34"/>
        </w:numPr>
        <w:spacing w:before="0" w:line="240" w:lineRule="auto"/>
        <w:ind w:left="1560"/>
        <w:jc w:val="both"/>
        <w:rPr>
          <w:rFonts w:asciiTheme="minorHAnsi" w:eastAsiaTheme="minorHAnsi" w:hAnsiTheme="minorHAnsi"/>
          <w:i/>
          <w:sz w:val="22"/>
          <w:szCs w:val="22"/>
          <w:lang w:eastAsia="en-US"/>
        </w:rPr>
      </w:pPr>
      <w:r w:rsidRPr="00B23FB7">
        <w:rPr>
          <w:rFonts w:asciiTheme="minorHAnsi" w:eastAsiaTheme="minorHAnsi" w:hAnsiTheme="minorHAnsi"/>
          <w:i/>
          <w:sz w:val="22"/>
          <w:szCs w:val="22"/>
          <w:lang w:eastAsia="en-US"/>
        </w:rPr>
        <w:t xml:space="preserve">NT1a - Descrição de análise da situação geral do escopo contratado – localização, características específicas da OAE, </w:t>
      </w:r>
      <w:r w:rsidRPr="00B23FB7">
        <w:rPr>
          <w:rFonts w:asciiTheme="minorHAnsi" w:eastAsiaTheme="minorHAnsi" w:hAnsiTheme="minorHAnsi"/>
          <w:b/>
          <w:i/>
          <w:sz w:val="22"/>
          <w:szCs w:val="22"/>
          <w:lang w:eastAsia="en-US"/>
        </w:rPr>
        <w:t xml:space="preserve">tipo de inspeção e especialidades envolvidas para a execução do contrato. </w:t>
      </w:r>
      <w:r w:rsidRPr="00B23FB7">
        <w:rPr>
          <w:rFonts w:asciiTheme="minorHAnsi" w:eastAsiaTheme="minorHAnsi" w:hAnsiTheme="minorHAnsi"/>
          <w:i/>
          <w:sz w:val="22"/>
          <w:szCs w:val="22"/>
          <w:lang w:eastAsia="en-US"/>
        </w:rPr>
        <w:t>(Peso do quesito: 25% do peso do tópico);</w:t>
      </w:r>
    </w:p>
    <w:p w:rsidR="003C2BEC" w:rsidRPr="00B23FB7" w:rsidRDefault="003C2BEC" w:rsidP="00B23FB7">
      <w:pPr>
        <w:numPr>
          <w:ilvl w:val="0"/>
          <w:numId w:val="34"/>
        </w:numPr>
        <w:spacing w:before="0" w:line="240" w:lineRule="auto"/>
        <w:ind w:left="1560"/>
        <w:jc w:val="both"/>
        <w:rPr>
          <w:rFonts w:asciiTheme="minorHAnsi" w:eastAsiaTheme="minorHAnsi" w:hAnsiTheme="minorHAnsi"/>
          <w:i/>
          <w:sz w:val="22"/>
          <w:szCs w:val="22"/>
          <w:lang w:eastAsia="en-US"/>
        </w:rPr>
      </w:pPr>
      <w:r w:rsidRPr="00B23FB7">
        <w:rPr>
          <w:rFonts w:asciiTheme="minorHAnsi" w:eastAsiaTheme="minorHAnsi" w:hAnsiTheme="minorHAnsi"/>
          <w:i/>
          <w:sz w:val="22"/>
          <w:szCs w:val="22"/>
          <w:lang w:eastAsia="en-US"/>
        </w:rPr>
        <w:t xml:space="preserve">NT1b - Descrição dos problemas potenciais para a inspeção – </w:t>
      </w:r>
      <w:r w:rsidRPr="00B23FB7">
        <w:rPr>
          <w:rFonts w:asciiTheme="minorHAnsi" w:eastAsiaTheme="minorHAnsi" w:hAnsiTheme="minorHAnsi"/>
          <w:b/>
          <w:i/>
          <w:sz w:val="22"/>
          <w:szCs w:val="22"/>
          <w:lang w:eastAsia="en-US"/>
        </w:rPr>
        <w:t>dificuldades de acesso para realizar as inspeções, interferências existentes, necessidade ou não de interdição do trânsito, tráfego intenso na área da obra etc</w:t>
      </w:r>
      <w:r w:rsidRPr="00B23FB7">
        <w:rPr>
          <w:rFonts w:asciiTheme="minorHAnsi" w:eastAsiaTheme="minorHAnsi" w:hAnsiTheme="minorHAnsi"/>
          <w:i/>
          <w:sz w:val="22"/>
          <w:szCs w:val="22"/>
          <w:lang w:eastAsia="en-US"/>
        </w:rPr>
        <w:t>. (Peso do quesito: 15% do peso do tópico);</w:t>
      </w:r>
    </w:p>
    <w:p w:rsidR="003C2BEC" w:rsidRPr="00B23FB7" w:rsidRDefault="003C2BEC" w:rsidP="003C2BEC">
      <w:pPr>
        <w:numPr>
          <w:ilvl w:val="0"/>
          <w:numId w:val="34"/>
        </w:numPr>
        <w:spacing w:before="0" w:line="240" w:lineRule="auto"/>
        <w:ind w:left="1560"/>
        <w:jc w:val="both"/>
        <w:rPr>
          <w:rFonts w:asciiTheme="minorHAnsi" w:eastAsiaTheme="minorHAnsi" w:hAnsiTheme="minorHAnsi"/>
          <w:i/>
          <w:sz w:val="22"/>
          <w:szCs w:val="22"/>
          <w:lang w:eastAsia="en-US"/>
        </w:rPr>
      </w:pPr>
      <w:r w:rsidRPr="00B23FB7">
        <w:rPr>
          <w:rFonts w:asciiTheme="minorHAnsi" w:eastAsiaTheme="minorHAnsi" w:hAnsiTheme="minorHAnsi"/>
          <w:i/>
          <w:sz w:val="22"/>
          <w:szCs w:val="22"/>
          <w:lang w:eastAsia="en-US"/>
        </w:rPr>
        <w:t xml:space="preserve">NT1c - Descrição da proposição de metodologia de serviço para atendimento ao escopo de contrato – </w:t>
      </w:r>
      <w:r w:rsidRPr="00CA4885">
        <w:rPr>
          <w:rFonts w:asciiTheme="minorHAnsi" w:eastAsiaTheme="minorHAnsi" w:hAnsiTheme="minorHAnsi"/>
          <w:b/>
          <w:i/>
          <w:sz w:val="22"/>
          <w:szCs w:val="22"/>
          <w:lang w:eastAsia="en-US"/>
        </w:rPr>
        <w:t>forma de ataque para realização das inspeções e de ensaios, da elaboração da verificação estrutural / retro análise e das soluções de recuperação ou reforço ou reabilitação, planilhas de quantidades e orçamento, detalhamento das etapas a serem desenvolvidas, das suas interdependências e definição as atividades críticas, relação de equipes, com funções e histograma de permanência</w:t>
      </w:r>
      <w:r w:rsidRPr="00B23FB7">
        <w:rPr>
          <w:rFonts w:asciiTheme="minorHAnsi" w:eastAsiaTheme="minorHAnsi" w:hAnsiTheme="minorHAnsi"/>
          <w:i/>
          <w:sz w:val="22"/>
          <w:szCs w:val="22"/>
          <w:lang w:eastAsia="en-US"/>
        </w:rPr>
        <w:t>. (Peso do quesito: 60% do peso do tópico).</w:t>
      </w:r>
    </w:p>
    <w:p w:rsidR="003C2BEC" w:rsidRDefault="003C2BEC" w:rsidP="003654BE">
      <w:pPr>
        <w:spacing w:before="0" w:line="276" w:lineRule="auto"/>
        <w:ind w:left="142" w:firstLine="1559"/>
        <w:jc w:val="both"/>
        <w:rPr>
          <w:rFonts w:ascii="Times New Roman" w:eastAsia="Times New Roman" w:hAnsi="Times New Roman" w:cs="Times New Roman"/>
          <w:sz w:val="28"/>
        </w:rPr>
      </w:pPr>
    </w:p>
    <w:p w:rsidR="001264AF" w:rsidRDefault="00CA130A" w:rsidP="004D60C5">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Verifica-se do</w:t>
      </w:r>
      <w:r w:rsidR="00600ED6">
        <w:rPr>
          <w:rFonts w:ascii="Times New Roman" w:eastAsia="Times New Roman" w:hAnsi="Times New Roman" w:cs="Times New Roman"/>
          <w:sz w:val="28"/>
        </w:rPr>
        <w:t xml:space="preserve"> quanto transcrito acima</w:t>
      </w:r>
      <w:r w:rsidR="001264AF">
        <w:rPr>
          <w:rFonts w:ascii="Times New Roman" w:eastAsia="Times New Roman" w:hAnsi="Times New Roman" w:cs="Times New Roman"/>
          <w:sz w:val="28"/>
        </w:rPr>
        <w:t xml:space="preserve"> que</w:t>
      </w:r>
      <w:r w:rsidR="00600ED6">
        <w:rPr>
          <w:rFonts w:ascii="Times New Roman" w:eastAsia="Times New Roman" w:hAnsi="Times New Roman" w:cs="Times New Roman"/>
          <w:sz w:val="28"/>
        </w:rPr>
        <w:t>,</w:t>
      </w:r>
      <w:r w:rsidR="001264AF">
        <w:rPr>
          <w:rFonts w:ascii="Times New Roman" w:eastAsia="Times New Roman" w:hAnsi="Times New Roman" w:cs="Times New Roman"/>
          <w:sz w:val="28"/>
        </w:rPr>
        <w:t xml:space="preserve"> </w:t>
      </w:r>
      <w:r w:rsidR="004D60C5">
        <w:rPr>
          <w:rFonts w:ascii="Times New Roman" w:eastAsia="Times New Roman" w:hAnsi="Times New Roman" w:cs="Times New Roman"/>
          <w:sz w:val="28"/>
        </w:rPr>
        <w:t xml:space="preserve">apesar da </w:t>
      </w:r>
      <w:r w:rsidR="000E6B2A">
        <w:rPr>
          <w:rFonts w:ascii="Times New Roman" w:eastAsia="Times New Roman" w:hAnsi="Times New Roman" w:cs="Times New Roman"/>
          <w:sz w:val="28"/>
        </w:rPr>
        <w:t>Origem ter fornecido os dados básicos para que o licitante conheça o objeto do certame, como</w:t>
      </w:r>
      <w:r w:rsidR="00A6296B">
        <w:rPr>
          <w:rFonts w:ascii="Times New Roman" w:eastAsia="Times New Roman" w:hAnsi="Times New Roman" w:cs="Times New Roman"/>
          <w:sz w:val="28"/>
        </w:rPr>
        <w:t xml:space="preserve"> </w:t>
      </w:r>
      <w:r w:rsidR="002308EB">
        <w:rPr>
          <w:rFonts w:ascii="Times New Roman" w:eastAsia="Times New Roman" w:hAnsi="Times New Roman" w:cs="Times New Roman"/>
          <w:sz w:val="28"/>
        </w:rPr>
        <w:t xml:space="preserve">localização, </w:t>
      </w:r>
      <w:r w:rsidR="00A6296B" w:rsidRPr="00A6296B">
        <w:rPr>
          <w:rFonts w:ascii="Times New Roman" w:eastAsia="Times New Roman" w:hAnsi="Times New Roman" w:cs="Times New Roman"/>
          <w:sz w:val="28"/>
        </w:rPr>
        <w:t>relatórios de inspeção</w:t>
      </w:r>
      <w:r w:rsidR="00A6296B">
        <w:rPr>
          <w:rFonts w:ascii="Times New Roman" w:eastAsia="Times New Roman" w:hAnsi="Times New Roman" w:cs="Times New Roman"/>
          <w:sz w:val="28"/>
        </w:rPr>
        <w:t xml:space="preserve"> visual</w:t>
      </w:r>
      <w:r w:rsidR="00A12E0E">
        <w:rPr>
          <w:rFonts w:ascii="Times New Roman" w:eastAsia="Times New Roman" w:hAnsi="Times New Roman" w:cs="Times New Roman"/>
          <w:sz w:val="28"/>
        </w:rPr>
        <w:t xml:space="preserve"> e</w:t>
      </w:r>
      <w:r w:rsidR="00A6296B" w:rsidRPr="00A6296B">
        <w:rPr>
          <w:rFonts w:ascii="Times New Roman" w:eastAsia="Times New Roman" w:hAnsi="Times New Roman" w:cs="Times New Roman"/>
          <w:sz w:val="28"/>
        </w:rPr>
        <w:t xml:space="preserve"> cópias de partes dos projetos</w:t>
      </w:r>
      <w:r w:rsidR="00A12E0E">
        <w:rPr>
          <w:rFonts w:ascii="Times New Roman" w:eastAsia="Times New Roman" w:hAnsi="Times New Roman" w:cs="Times New Roman"/>
          <w:sz w:val="28"/>
        </w:rPr>
        <w:t xml:space="preserve">, </w:t>
      </w:r>
      <w:r>
        <w:rPr>
          <w:rFonts w:ascii="Times New Roman" w:eastAsia="Times New Roman" w:hAnsi="Times New Roman" w:cs="Times New Roman"/>
          <w:sz w:val="28"/>
        </w:rPr>
        <w:t>busca o certame</w:t>
      </w:r>
      <w:r w:rsidR="00A12E0E">
        <w:rPr>
          <w:rFonts w:ascii="Times New Roman" w:eastAsia="Times New Roman" w:hAnsi="Times New Roman" w:cs="Times New Roman"/>
          <w:sz w:val="28"/>
        </w:rPr>
        <w:t xml:space="preserve"> </w:t>
      </w:r>
      <w:r w:rsidR="00600ED6">
        <w:rPr>
          <w:rFonts w:ascii="Times New Roman" w:eastAsia="Times New Roman" w:hAnsi="Times New Roman" w:cs="Times New Roman"/>
          <w:sz w:val="28"/>
        </w:rPr>
        <w:t xml:space="preserve">contratar </w:t>
      </w:r>
      <w:r w:rsidR="000D4026">
        <w:rPr>
          <w:rFonts w:ascii="Times New Roman" w:eastAsia="Times New Roman" w:hAnsi="Times New Roman" w:cs="Times New Roman"/>
          <w:sz w:val="28"/>
        </w:rPr>
        <w:t xml:space="preserve">abordagens e </w:t>
      </w:r>
      <w:r w:rsidR="00A12E0E">
        <w:rPr>
          <w:rFonts w:ascii="Times New Roman" w:eastAsia="Times New Roman" w:hAnsi="Times New Roman" w:cs="Times New Roman"/>
          <w:sz w:val="28"/>
        </w:rPr>
        <w:t xml:space="preserve">informações adicionais sobre as </w:t>
      </w:r>
      <w:r w:rsidR="00153BDA">
        <w:rPr>
          <w:rFonts w:ascii="Times New Roman" w:eastAsia="Times New Roman" w:hAnsi="Times New Roman" w:cs="Times New Roman"/>
          <w:sz w:val="28"/>
        </w:rPr>
        <w:t>Obras de Artes Especiais</w:t>
      </w:r>
      <w:r w:rsidR="00A12E0E">
        <w:rPr>
          <w:rFonts w:ascii="Times New Roman" w:eastAsia="Times New Roman" w:hAnsi="Times New Roman" w:cs="Times New Roman"/>
          <w:sz w:val="28"/>
        </w:rPr>
        <w:t xml:space="preserve">, </w:t>
      </w:r>
      <w:r w:rsidR="00336A78">
        <w:rPr>
          <w:rFonts w:ascii="Times New Roman" w:eastAsia="Times New Roman" w:hAnsi="Times New Roman" w:cs="Times New Roman"/>
          <w:sz w:val="28"/>
        </w:rPr>
        <w:t xml:space="preserve">a exemplo de </w:t>
      </w:r>
      <w:r w:rsidR="00A12E0E">
        <w:rPr>
          <w:rFonts w:ascii="Times New Roman" w:eastAsia="Times New Roman" w:hAnsi="Times New Roman" w:cs="Times New Roman"/>
          <w:sz w:val="28"/>
        </w:rPr>
        <w:t>quais</w:t>
      </w:r>
      <w:r w:rsidR="00336A78">
        <w:rPr>
          <w:rFonts w:ascii="Times New Roman" w:eastAsia="Times New Roman" w:hAnsi="Times New Roman" w:cs="Times New Roman"/>
          <w:sz w:val="28"/>
        </w:rPr>
        <w:t xml:space="preserve"> formas de</w:t>
      </w:r>
      <w:r w:rsidR="00A12E0E">
        <w:rPr>
          <w:rFonts w:ascii="Times New Roman" w:eastAsia="Times New Roman" w:hAnsi="Times New Roman" w:cs="Times New Roman"/>
          <w:sz w:val="28"/>
        </w:rPr>
        <w:t xml:space="preserve"> inspeções entendem como necessárias, as dificuldades que observam para acesso e soluções </w:t>
      </w:r>
      <w:r w:rsidR="004F40C4">
        <w:rPr>
          <w:rFonts w:ascii="Times New Roman" w:eastAsia="Times New Roman" w:hAnsi="Times New Roman" w:cs="Times New Roman"/>
          <w:sz w:val="28"/>
        </w:rPr>
        <w:t>para esses problemas</w:t>
      </w:r>
      <w:r w:rsidR="00A12E0E">
        <w:rPr>
          <w:rFonts w:ascii="Times New Roman" w:eastAsia="Times New Roman" w:hAnsi="Times New Roman" w:cs="Times New Roman"/>
          <w:sz w:val="28"/>
        </w:rPr>
        <w:t>, formas de recuperação da estrutura</w:t>
      </w:r>
      <w:r w:rsidR="004F40C4">
        <w:rPr>
          <w:rFonts w:ascii="Times New Roman" w:eastAsia="Times New Roman" w:hAnsi="Times New Roman" w:cs="Times New Roman"/>
          <w:sz w:val="28"/>
        </w:rPr>
        <w:t xml:space="preserve"> deteriorada</w:t>
      </w:r>
      <w:r w:rsidR="00A12E0E">
        <w:rPr>
          <w:rFonts w:ascii="Times New Roman" w:eastAsia="Times New Roman" w:hAnsi="Times New Roman" w:cs="Times New Roman"/>
          <w:sz w:val="28"/>
        </w:rPr>
        <w:t>, etapas a serem desenvolvidas</w:t>
      </w:r>
      <w:r w:rsidR="004F40C4">
        <w:rPr>
          <w:rFonts w:ascii="Times New Roman" w:eastAsia="Times New Roman" w:hAnsi="Times New Roman" w:cs="Times New Roman"/>
          <w:sz w:val="28"/>
        </w:rPr>
        <w:t xml:space="preserve"> durante o cumprimento do objeto</w:t>
      </w:r>
      <w:r w:rsidR="00A12E0E">
        <w:rPr>
          <w:rFonts w:ascii="Times New Roman" w:eastAsia="Times New Roman" w:hAnsi="Times New Roman" w:cs="Times New Roman"/>
          <w:sz w:val="28"/>
        </w:rPr>
        <w:t>, dentre outros.</w:t>
      </w:r>
    </w:p>
    <w:p w:rsidR="00D21C74" w:rsidRDefault="00D21C74" w:rsidP="000E6B2A">
      <w:pPr>
        <w:spacing w:before="0" w:line="276" w:lineRule="auto"/>
        <w:jc w:val="both"/>
        <w:rPr>
          <w:rFonts w:ascii="Times New Roman" w:eastAsia="Times New Roman" w:hAnsi="Times New Roman" w:cs="Times New Roman"/>
          <w:sz w:val="28"/>
        </w:rPr>
      </w:pPr>
    </w:p>
    <w:p w:rsidR="00D21C74" w:rsidRDefault="000D4026" w:rsidP="004F40C4">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Tais proposi</w:t>
      </w:r>
      <w:r w:rsidR="00D21C74">
        <w:rPr>
          <w:rFonts w:ascii="Times New Roman" w:eastAsia="Times New Roman" w:hAnsi="Times New Roman" w:cs="Times New Roman"/>
          <w:sz w:val="28"/>
        </w:rPr>
        <w:t>ções</w:t>
      </w:r>
      <w:r w:rsidR="004F40C4">
        <w:rPr>
          <w:rFonts w:ascii="Times New Roman" w:eastAsia="Times New Roman" w:hAnsi="Times New Roman" w:cs="Times New Roman"/>
          <w:sz w:val="28"/>
        </w:rPr>
        <w:t xml:space="preserve"> de caráter técnico</w:t>
      </w:r>
      <w:r w:rsidR="00D21C74">
        <w:rPr>
          <w:rFonts w:ascii="Times New Roman" w:eastAsia="Times New Roman" w:hAnsi="Times New Roman" w:cs="Times New Roman"/>
          <w:sz w:val="28"/>
        </w:rPr>
        <w:t xml:space="preserve"> dependem diretamente da experiência dos profissionais que compõem as empresas licitantes, de modo </w:t>
      </w:r>
      <w:r w:rsidR="00E6103C">
        <w:rPr>
          <w:rFonts w:ascii="Times New Roman" w:eastAsia="Times New Roman" w:hAnsi="Times New Roman" w:cs="Times New Roman"/>
          <w:sz w:val="28"/>
        </w:rPr>
        <w:t>que inexiste</w:t>
      </w:r>
      <w:r w:rsidR="00D21C74">
        <w:rPr>
          <w:rFonts w:ascii="Times New Roman" w:eastAsia="Times New Roman" w:hAnsi="Times New Roman" w:cs="Times New Roman"/>
          <w:sz w:val="28"/>
        </w:rPr>
        <w:t xml:space="preserve"> solução única para os problemas</w:t>
      </w:r>
      <w:r w:rsidR="00E6103C">
        <w:rPr>
          <w:rFonts w:ascii="Times New Roman" w:eastAsia="Times New Roman" w:hAnsi="Times New Roman" w:cs="Times New Roman"/>
          <w:sz w:val="28"/>
        </w:rPr>
        <w:t xml:space="preserve"> encontrados</w:t>
      </w:r>
      <w:r w:rsidR="00A613B7">
        <w:rPr>
          <w:rFonts w:ascii="Times New Roman" w:eastAsia="Times New Roman" w:hAnsi="Times New Roman" w:cs="Times New Roman"/>
          <w:sz w:val="28"/>
        </w:rPr>
        <w:t xml:space="preserve"> nas pontes e viadutos</w:t>
      </w:r>
      <w:r w:rsidR="00E6103C">
        <w:rPr>
          <w:rFonts w:ascii="Times New Roman" w:eastAsia="Times New Roman" w:hAnsi="Times New Roman" w:cs="Times New Roman"/>
          <w:sz w:val="28"/>
        </w:rPr>
        <w:t xml:space="preserve"> do Município</w:t>
      </w:r>
      <w:r w:rsidR="00A613B7">
        <w:rPr>
          <w:rFonts w:ascii="Times New Roman" w:eastAsia="Times New Roman" w:hAnsi="Times New Roman" w:cs="Times New Roman"/>
          <w:sz w:val="28"/>
        </w:rPr>
        <w:t>, cabendo à administração a avaliação de quais soluções</w:t>
      </w:r>
      <w:r w:rsidR="00E6103C">
        <w:rPr>
          <w:rFonts w:ascii="Times New Roman" w:eastAsia="Times New Roman" w:hAnsi="Times New Roman" w:cs="Times New Roman"/>
          <w:sz w:val="28"/>
        </w:rPr>
        <w:t xml:space="preserve"> propostas pelos licitantes</w:t>
      </w:r>
      <w:r w:rsidR="00A613B7">
        <w:rPr>
          <w:rFonts w:ascii="Times New Roman" w:eastAsia="Times New Roman" w:hAnsi="Times New Roman" w:cs="Times New Roman"/>
          <w:sz w:val="28"/>
        </w:rPr>
        <w:t xml:space="preserve"> atendem melhor</w:t>
      </w:r>
      <w:r>
        <w:rPr>
          <w:rFonts w:ascii="Times New Roman" w:eastAsia="Times New Roman" w:hAnsi="Times New Roman" w:cs="Times New Roman"/>
          <w:sz w:val="28"/>
        </w:rPr>
        <w:t xml:space="preserve"> à</w:t>
      </w:r>
      <w:r w:rsidR="00336A78">
        <w:rPr>
          <w:rFonts w:ascii="Times New Roman" w:eastAsia="Times New Roman" w:hAnsi="Times New Roman" w:cs="Times New Roman"/>
          <w:sz w:val="28"/>
        </w:rPr>
        <w:t xml:space="preserve"> consecução do objeto contratado</w:t>
      </w:r>
      <w:r w:rsidR="00A613B7">
        <w:rPr>
          <w:rFonts w:ascii="Times New Roman" w:eastAsia="Times New Roman" w:hAnsi="Times New Roman" w:cs="Times New Roman"/>
          <w:sz w:val="28"/>
        </w:rPr>
        <w:t>.</w:t>
      </w:r>
    </w:p>
    <w:p w:rsidR="00A613B7" w:rsidRDefault="00A613B7" w:rsidP="000E6B2A">
      <w:pPr>
        <w:spacing w:before="0" w:line="276" w:lineRule="auto"/>
        <w:jc w:val="both"/>
        <w:rPr>
          <w:rFonts w:ascii="Times New Roman" w:eastAsia="Times New Roman" w:hAnsi="Times New Roman" w:cs="Times New Roman"/>
          <w:sz w:val="28"/>
        </w:rPr>
      </w:pPr>
    </w:p>
    <w:p w:rsidR="00153BDA" w:rsidRDefault="00E6103C" w:rsidP="00153BDA">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Por tais razões, </w:t>
      </w:r>
      <w:r w:rsidR="00153BDA">
        <w:rPr>
          <w:rFonts w:ascii="Times New Roman" w:eastAsia="Times New Roman" w:hAnsi="Times New Roman" w:cs="Times New Roman"/>
          <w:sz w:val="28"/>
        </w:rPr>
        <w:t>aliado ao fato de que não houve qualquer impugnação de interessad</w:t>
      </w:r>
      <w:r w:rsidR="00336A78">
        <w:rPr>
          <w:rFonts w:ascii="Times New Roman" w:eastAsia="Times New Roman" w:hAnsi="Times New Roman" w:cs="Times New Roman"/>
          <w:sz w:val="28"/>
        </w:rPr>
        <w:t>os</w:t>
      </w:r>
      <w:r w:rsidR="00153BDA">
        <w:rPr>
          <w:rFonts w:ascii="Times New Roman" w:eastAsia="Times New Roman" w:hAnsi="Times New Roman" w:cs="Times New Roman"/>
          <w:sz w:val="28"/>
        </w:rPr>
        <w:t xml:space="preserve"> nesse particular, </w:t>
      </w:r>
      <w:r w:rsidR="00CA130A">
        <w:rPr>
          <w:rFonts w:ascii="Times New Roman" w:eastAsia="Times New Roman" w:hAnsi="Times New Roman" w:cs="Times New Roman"/>
          <w:sz w:val="28"/>
        </w:rPr>
        <w:t>entendo</w:t>
      </w:r>
      <w:r w:rsidR="00153BDA">
        <w:rPr>
          <w:rFonts w:ascii="Times New Roman" w:eastAsia="Times New Roman" w:hAnsi="Times New Roman" w:cs="Times New Roman"/>
          <w:sz w:val="28"/>
        </w:rPr>
        <w:t xml:space="preserve"> que as informações</w:t>
      </w:r>
      <w:r w:rsidR="00060DAE">
        <w:rPr>
          <w:rFonts w:ascii="Times New Roman" w:eastAsia="Times New Roman" w:hAnsi="Times New Roman" w:cs="Times New Roman"/>
          <w:sz w:val="28"/>
        </w:rPr>
        <w:t xml:space="preserve"> </w:t>
      </w:r>
      <w:r w:rsidR="00153BDA">
        <w:rPr>
          <w:rFonts w:ascii="Times New Roman" w:eastAsia="Times New Roman" w:hAnsi="Times New Roman" w:cs="Times New Roman"/>
          <w:sz w:val="28"/>
        </w:rPr>
        <w:t xml:space="preserve">constantes dos Editais refletem </w:t>
      </w:r>
      <w:r w:rsidR="00795F41" w:rsidRPr="00795F41">
        <w:rPr>
          <w:rFonts w:ascii="Times New Roman" w:eastAsia="Times New Roman" w:hAnsi="Times New Roman" w:cs="Times New Roman"/>
          <w:sz w:val="28"/>
        </w:rPr>
        <w:t xml:space="preserve">descrição completa e </w:t>
      </w:r>
      <w:r w:rsidR="00153BDA">
        <w:rPr>
          <w:rFonts w:ascii="Times New Roman" w:eastAsia="Times New Roman" w:hAnsi="Times New Roman" w:cs="Times New Roman"/>
          <w:sz w:val="28"/>
        </w:rPr>
        <w:t xml:space="preserve">suficiente </w:t>
      </w:r>
      <w:r w:rsidR="00795F41">
        <w:rPr>
          <w:rFonts w:ascii="Times New Roman" w:eastAsia="Times New Roman" w:hAnsi="Times New Roman" w:cs="Times New Roman"/>
          <w:sz w:val="28"/>
        </w:rPr>
        <w:t xml:space="preserve">do escopo do contrato, </w:t>
      </w:r>
      <w:r w:rsidR="00153BDA">
        <w:rPr>
          <w:rFonts w:ascii="Times New Roman" w:eastAsia="Times New Roman" w:hAnsi="Times New Roman" w:cs="Times New Roman"/>
          <w:sz w:val="28"/>
        </w:rPr>
        <w:t xml:space="preserve">inclusive, </w:t>
      </w:r>
      <w:r w:rsidR="00CA130A">
        <w:rPr>
          <w:rFonts w:ascii="Times New Roman" w:eastAsia="Times New Roman" w:hAnsi="Times New Roman" w:cs="Times New Roman"/>
          <w:sz w:val="28"/>
        </w:rPr>
        <w:t>diante</w:t>
      </w:r>
      <w:r w:rsidR="00795F41">
        <w:rPr>
          <w:rFonts w:ascii="Times New Roman" w:eastAsia="Times New Roman" w:hAnsi="Times New Roman" w:cs="Times New Roman"/>
          <w:sz w:val="28"/>
        </w:rPr>
        <w:t xml:space="preserve"> </w:t>
      </w:r>
      <w:r w:rsidR="00CA130A">
        <w:rPr>
          <w:rFonts w:ascii="Times New Roman" w:eastAsia="Times New Roman" w:hAnsi="Times New Roman" w:cs="Times New Roman"/>
          <w:sz w:val="28"/>
        </w:rPr>
        <w:t>d</w:t>
      </w:r>
      <w:r w:rsidR="00795F41" w:rsidRPr="00795F41">
        <w:rPr>
          <w:rFonts w:ascii="Times New Roman" w:eastAsia="Times New Roman" w:hAnsi="Times New Roman" w:cs="Times New Roman"/>
          <w:sz w:val="28"/>
        </w:rPr>
        <w:t>os relatórios de inspeção do</w:t>
      </w:r>
      <w:r w:rsidR="00153BDA">
        <w:rPr>
          <w:rFonts w:ascii="Times New Roman" w:eastAsia="Times New Roman" w:hAnsi="Times New Roman" w:cs="Times New Roman"/>
          <w:sz w:val="28"/>
        </w:rPr>
        <w:t>s</w:t>
      </w:r>
      <w:r w:rsidR="00795F41" w:rsidRPr="00795F41">
        <w:rPr>
          <w:rFonts w:ascii="Times New Roman" w:eastAsia="Times New Roman" w:hAnsi="Times New Roman" w:cs="Times New Roman"/>
          <w:sz w:val="28"/>
        </w:rPr>
        <w:t xml:space="preserve"> ano</w:t>
      </w:r>
      <w:r w:rsidR="00153BDA">
        <w:rPr>
          <w:rFonts w:ascii="Times New Roman" w:eastAsia="Times New Roman" w:hAnsi="Times New Roman" w:cs="Times New Roman"/>
          <w:sz w:val="28"/>
        </w:rPr>
        <w:t>s</w:t>
      </w:r>
      <w:r w:rsidR="00795F41" w:rsidRPr="00795F41">
        <w:rPr>
          <w:rFonts w:ascii="Times New Roman" w:eastAsia="Times New Roman" w:hAnsi="Times New Roman" w:cs="Times New Roman"/>
          <w:sz w:val="28"/>
        </w:rPr>
        <w:t xml:space="preserve"> de 2012 </w:t>
      </w:r>
      <w:r w:rsidR="00153BDA">
        <w:rPr>
          <w:rFonts w:ascii="Times New Roman" w:eastAsia="Times New Roman" w:hAnsi="Times New Roman" w:cs="Times New Roman"/>
          <w:sz w:val="28"/>
        </w:rPr>
        <w:t xml:space="preserve">e </w:t>
      </w:r>
      <w:r w:rsidR="00795F41" w:rsidRPr="00795F41">
        <w:rPr>
          <w:rFonts w:ascii="Times New Roman" w:eastAsia="Times New Roman" w:hAnsi="Times New Roman" w:cs="Times New Roman"/>
          <w:sz w:val="28"/>
        </w:rPr>
        <w:t>2019</w:t>
      </w:r>
      <w:r w:rsidR="00153BDA">
        <w:rPr>
          <w:rFonts w:ascii="Times New Roman" w:eastAsia="Times New Roman" w:hAnsi="Times New Roman" w:cs="Times New Roman"/>
          <w:sz w:val="28"/>
        </w:rPr>
        <w:t xml:space="preserve"> anexados com </w:t>
      </w:r>
      <w:r w:rsidR="00795F41" w:rsidRPr="00795F41">
        <w:rPr>
          <w:rFonts w:ascii="Times New Roman" w:eastAsia="Times New Roman" w:hAnsi="Times New Roman" w:cs="Times New Roman"/>
          <w:sz w:val="28"/>
        </w:rPr>
        <w:t>cópias de partes dos projetos</w:t>
      </w:r>
      <w:r w:rsidR="00153BDA">
        <w:rPr>
          <w:rFonts w:ascii="Times New Roman" w:eastAsia="Times New Roman" w:hAnsi="Times New Roman" w:cs="Times New Roman"/>
          <w:sz w:val="28"/>
        </w:rPr>
        <w:t>.</w:t>
      </w:r>
    </w:p>
    <w:p w:rsidR="003654BE" w:rsidRDefault="00795F41" w:rsidP="00153BDA">
      <w:pPr>
        <w:spacing w:before="0" w:line="276" w:lineRule="auto"/>
        <w:ind w:left="142" w:firstLine="1559"/>
        <w:jc w:val="both"/>
        <w:rPr>
          <w:rFonts w:asciiTheme="minorHAnsi" w:eastAsiaTheme="minorHAnsi" w:hAnsiTheme="minorHAnsi"/>
          <w:i/>
          <w:sz w:val="22"/>
          <w:szCs w:val="22"/>
          <w:lang w:eastAsia="en-US"/>
        </w:rPr>
      </w:pPr>
      <w:r>
        <w:rPr>
          <w:rFonts w:ascii="Times New Roman" w:eastAsia="Times New Roman" w:hAnsi="Times New Roman" w:cs="Times New Roman"/>
          <w:sz w:val="28"/>
        </w:rPr>
        <w:t xml:space="preserve"> </w:t>
      </w:r>
    </w:p>
    <w:p w:rsidR="00DE0372" w:rsidRPr="00DE0372" w:rsidRDefault="00DE0372" w:rsidP="00FE6625">
      <w:pPr>
        <w:pStyle w:val="PargrafodaLista"/>
        <w:spacing w:before="0" w:line="276" w:lineRule="auto"/>
        <w:ind w:left="0" w:firstLine="1701"/>
        <w:jc w:val="both"/>
        <w:rPr>
          <w:rFonts w:asciiTheme="minorHAnsi" w:eastAsiaTheme="minorHAnsi" w:hAnsiTheme="minorHAnsi"/>
          <w:i/>
          <w:sz w:val="22"/>
          <w:szCs w:val="22"/>
          <w:lang w:eastAsia="en-US"/>
        </w:rPr>
      </w:pPr>
    </w:p>
    <w:p w:rsidR="00285ED7" w:rsidRPr="00335787" w:rsidRDefault="00E45611" w:rsidP="00E45611">
      <w:pPr>
        <w:pStyle w:val="PargrafodaLista"/>
        <w:numPr>
          <w:ilvl w:val="0"/>
          <w:numId w:val="29"/>
        </w:numPr>
        <w:spacing w:before="0" w:line="276" w:lineRule="auto"/>
        <w:jc w:val="both"/>
        <w:rPr>
          <w:rFonts w:ascii="Times New Roman" w:eastAsia="Times New Roman" w:hAnsi="Times New Roman" w:cs="Times New Roman"/>
          <w:b/>
          <w:sz w:val="28"/>
        </w:rPr>
      </w:pPr>
      <w:r w:rsidRPr="00E45611">
        <w:rPr>
          <w:rFonts w:ascii="Times New Roman" w:eastAsia="Times New Roman" w:hAnsi="Times New Roman" w:cs="Times New Roman"/>
          <w:b/>
          <w:sz w:val="28"/>
        </w:rPr>
        <w:t xml:space="preserve">Notas técnicas e de preços </w:t>
      </w:r>
      <w:r w:rsidR="00285ED7" w:rsidRPr="00335787">
        <w:rPr>
          <w:rFonts w:ascii="Times New Roman" w:eastAsia="Times New Roman" w:hAnsi="Times New Roman" w:cs="Times New Roman"/>
          <w:b/>
          <w:sz w:val="28"/>
        </w:rPr>
        <w:t>(5.4)</w:t>
      </w:r>
    </w:p>
    <w:p w:rsidR="00285ED7" w:rsidRDefault="00285ED7" w:rsidP="00475DB7">
      <w:pPr>
        <w:spacing w:before="0" w:line="276" w:lineRule="auto"/>
        <w:ind w:left="142" w:firstLine="1559"/>
        <w:jc w:val="both"/>
        <w:rPr>
          <w:rFonts w:ascii="Times New Roman" w:eastAsia="Times New Roman" w:hAnsi="Times New Roman" w:cs="Times New Roman"/>
          <w:sz w:val="28"/>
        </w:rPr>
      </w:pPr>
    </w:p>
    <w:p w:rsidR="00C861CA" w:rsidRDefault="00336A78" w:rsidP="00475DB7">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S</w:t>
      </w:r>
      <w:r w:rsidR="00474C26">
        <w:rPr>
          <w:rFonts w:ascii="Times New Roman" w:eastAsia="Times New Roman" w:hAnsi="Times New Roman" w:cs="Times New Roman"/>
          <w:sz w:val="28"/>
        </w:rPr>
        <w:t xml:space="preserve">uperada a </w:t>
      </w:r>
      <w:r>
        <w:rPr>
          <w:rFonts w:ascii="Times New Roman" w:eastAsia="Times New Roman" w:hAnsi="Times New Roman" w:cs="Times New Roman"/>
          <w:sz w:val="28"/>
        </w:rPr>
        <w:t>escolha</w:t>
      </w:r>
      <w:r w:rsidR="00474C26">
        <w:rPr>
          <w:rFonts w:ascii="Times New Roman" w:eastAsia="Times New Roman" w:hAnsi="Times New Roman" w:cs="Times New Roman"/>
          <w:sz w:val="28"/>
        </w:rPr>
        <w:t xml:space="preserve"> do tipo</w:t>
      </w:r>
      <w:r w:rsidR="00475DB7">
        <w:rPr>
          <w:rFonts w:ascii="Times New Roman" w:eastAsia="Times New Roman" w:hAnsi="Times New Roman" w:cs="Times New Roman"/>
          <w:sz w:val="28"/>
        </w:rPr>
        <w:t xml:space="preserve"> técnica e preço para </w:t>
      </w:r>
      <w:r w:rsidR="00C861CA">
        <w:rPr>
          <w:rFonts w:ascii="Times New Roman" w:eastAsia="Times New Roman" w:hAnsi="Times New Roman" w:cs="Times New Roman"/>
          <w:sz w:val="28"/>
        </w:rPr>
        <w:t>o objeto licitado, tal opção deve</w:t>
      </w:r>
      <w:r>
        <w:rPr>
          <w:rFonts w:ascii="Times New Roman" w:eastAsia="Times New Roman" w:hAnsi="Times New Roman" w:cs="Times New Roman"/>
          <w:sz w:val="28"/>
        </w:rPr>
        <w:t>, ainda,</w:t>
      </w:r>
      <w:r w:rsidR="00C861CA">
        <w:rPr>
          <w:rFonts w:ascii="Times New Roman" w:eastAsia="Times New Roman" w:hAnsi="Times New Roman" w:cs="Times New Roman"/>
          <w:sz w:val="28"/>
        </w:rPr>
        <w:t xml:space="preserve"> adequar-se à razoabilidade da fórmula e da ponderação entre a técnica e o preço para fins de julgamento.</w:t>
      </w:r>
    </w:p>
    <w:p w:rsidR="00CE44FA" w:rsidRDefault="00CE44FA" w:rsidP="00475DB7">
      <w:pPr>
        <w:spacing w:before="0" w:line="276" w:lineRule="auto"/>
        <w:ind w:left="142" w:firstLine="1559"/>
        <w:jc w:val="both"/>
        <w:rPr>
          <w:rFonts w:ascii="Times New Roman" w:eastAsia="Times New Roman" w:hAnsi="Times New Roman" w:cs="Times New Roman"/>
          <w:sz w:val="28"/>
        </w:rPr>
      </w:pPr>
    </w:p>
    <w:p w:rsidR="00CE44FA" w:rsidRPr="00CE44FA" w:rsidRDefault="00CE44FA" w:rsidP="00CE44FA">
      <w:pPr>
        <w:spacing w:before="0" w:line="276" w:lineRule="auto"/>
        <w:ind w:left="142" w:firstLine="1559"/>
        <w:jc w:val="both"/>
        <w:rPr>
          <w:rFonts w:ascii="Times New Roman" w:eastAsia="Times New Roman" w:hAnsi="Times New Roman" w:cs="Times New Roman"/>
          <w:sz w:val="28"/>
        </w:rPr>
      </w:pPr>
      <w:r w:rsidRPr="00CE44FA">
        <w:rPr>
          <w:rFonts w:ascii="Times New Roman" w:eastAsia="Times New Roman" w:hAnsi="Times New Roman" w:cs="Times New Roman"/>
          <w:sz w:val="28"/>
        </w:rPr>
        <w:t>Quanto a este apontamento, alega a Auditoria a existência de duas irregularidades: a primeira relacionada à fórmula, demonstrando a necessidade de que sejam feitos ajustes para que a fórmula adotada respeite a faixa de variação das notas técnicas e de preço, adequadas aos parâmetros legais e editalícios de valores máximos e mínimos admissíveis</w:t>
      </w:r>
      <w:r w:rsidR="00173501">
        <w:rPr>
          <w:rFonts w:ascii="Times New Roman" w:eastAsia="Times New Roman" w:hAnsi="Times New Roman" w:cs="Times New Roman"/>
          <w:sz w:val="28"/>
        </w:rPr>
        <w:t>;</w:t>
      </w:r>
      <w:r w:rsidRPr="00CE44FA">
        <w:rPr>
          <w:rFonts w:ascii="Times New Roman" w:eastAsia="Times New Roman" w:hAnsi="Times New Roman" w:cs="Times New Roman"/>
          <w:sz w:val="28"/>
        </w:rPr>
        <w:t xml:space="preserve"> e</w:t>
      </w:r>
      <w:r w:rsidR="00336A78">
        <w:rPr>
          <w:rFonts w:ascii="Times New Roman" w:eastAsia="Times New Roman" w:hAnsi="Times New Roman" w:cs="Times New Roman"/>
          <w:sz w:val="28"/>
        </w:rPr>
        <w:t>,</w:t>
      </w:r>
      <w:r w:rsidRPr="00CE44FA">
        <w:rPr>
          <w:rFonts w:ascii="Times New Roman" w:eastAsia="Times New Roman" w:hAnsi="Times New Roman" w:cs="Times New Roman"/>
          <w:sz w:val="28"/>
        </w:rPr>
        <w:t xml:space="preserve"> a segunda</w:t>
      </w:r>
      <w:r w:rsidR="00173501">
        <w:rPr>
          <w:rFonts w:ascii="Times New Roman" w:eastAsia="Times New Roman" w:hAnsi="Times New Roman" w:cs="Times New Roman"/>
          <w:sz w:val="28"/>
        </w:rPr>
        <w:t>,</w:t>
      </w:r>
      <w:r w:rsidRPr="00CE44FA">
        <w:rPr>
          <w:rFonts w:ascii="Times New Roman" w:eastAsia="Times New Roman" w:hAnsi="Times New Roman" w:cs="Times New Roman"/>
          <w:sz w:val="28"/>
        </w:rPr>
        <w:t xml:space="preserve"> relacionada à ponderação entre as notas de técnica e de preço, na qual a Especializada considera existir uma desproporcionalidade </w:t>
      </w:r>
      <w:r w:rsidR="00336A78">
        <w:rPr>
          <w:rFonts w:ascii="Times New Roman" w:eastAsia="Times New Roman" w:hAnsi="Times New Roman" w:cs="Times New Roman"/>
          <w:sz w:val="28"/>
        </w:rPr>
        <w:t>extrema</w:t>
      </w:r>
      <w:r w:rsidRPr="00CE44FA">
        <w:rPr>
          <w:rFonts w:ascii="Times New Roman" w:eastAsia="Times New Roman" w:hAnsi="Times New Roman" w:cs="Times New Roman"/>
          <w:sz w:val="28"/>
        </w:rPr>
        <w:t xml:space="preserve"> (70% técnica e 30% preço).</w:t>
      </w:r>
    </w:p>
    <w:p w:rsidR="007A5480" w:rsidRDefault="007A5480" w:rsidP="00475DB7">
      <w:pPr>
        <w:spacing w:before="0" w:line="276" w:lineRule="auto"/>
        <w:ind w:left="142" w:firstLine="1559"/>
        <w:jc w:val="both"/>
        <w:rPr>
          <w:rFonts w:ascii="Times New Roman" w:eastAsia="Times New Roman" w:hAnsi="Times New Roman" w:cs="Times New Roman"/>
          <w:sz w:val="28"/>
        </w:rPr>
      </w:pPr>
    </w:p>
    <w:p w:rsidR="0037334E" w:rsidRDefault="00DC6F8B" w:rsidP="001825CA">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A</w:t>
      </w:r>
      <w:r w:rsidR="00336A78">
        <w:rPr>
          <w:rFonts w:ascii="Times New Roman" w:eastAsia="Times New Roman" w:hAnsi="Times New Roman" w:cs="Times New Roman"/>
          <w:sz w:val="28"/>
        </w:rPr>
        <w:t xml:space="preserve"> </w:t>
      </w:r>
      <w:r w:rsidR="00E54E9A">
        <w:rPr>
          <w:rFonts w:ascii="Times New Roman" w:eastAsia="Times New Roman" w:hAnsi="Times New Roman" w:cs="Times New Roman"/>
          <w:sz w:val="28"/>
        </w:rPr>
        <w:t xml:space="preserve">Origem </w:t>
      </w:r>
      <w:r w:rsidR="00CE44FA">
        <w:rPr>
          <w:rFonts w:ascii="Times New Roman" w:eastAsia="Times New Roman" w:hAnsi="Times New Roman" w:cs="Times New Roman"/>
          <w:sz w:val="28"/>
        </w:rPr>
        <w:t>defendeu</w:t>
      </w:r>
      <w:r>
        <w:rPr>
          <w:rFonts w:ascii="Times New Roman" w:eastAsia="Times New Roman" w:hAnsi="Times New Roman" w:cs="Times New Roman"/>
          <w:sz w:val="28"/>
        </w:rPr>
        <w:t xml:space="preserve"> </w:t>
      </w:r>
      <w:r w:rsidR="00336A78">
        <w:rPr>
          <w:rFonts w:ascii="Times New Roman" w:eastAsia="Times New Roman" w:hAnsi="Times New Roman" w:cs="Times New Roman"/>
          <w:sz w:val="28"/>
        </w:rPr>
        <w:t>a adequação</w:t>
      </w:r>
      <w:r w:rsidR="00CE44FA" w:rsidRPr="00CE44FA">
        <w:rPr>
          <w:rFonts w:ascii="Times New Roman" w:eastAsia="Times New Roman" w:hAnsi="Times New Roman" w:cs="Times New Roman"/>
          <w:sz w:val="28"/>
        </w:rPr>
        <w:t xml:space="preserve"> </w:t>
      </w:r>
      <w:r>
        <w:rPr>
          <w:rFonts w:ascii="Times New Roman" w:eastAsia="Times New Roman" w:hAnsi="Times New Roman" w:cs="Times New Roman"/>
          <w:sz w:val="28"/>
        </w:rPr>
        <w:t>da fórmula justificando sua origem em Auditoria realizada pela Controladoria Geral da União, em 2012. Por sua vez, quanto à ponderação</w:t>
      </w:r>
      <w:r w:rsidR="00CE44FA" w:rsidRPr="00CE44FA">
        <w:rPr>
          <w:rFonts w:ascii="Times New Roman" w:eastAsia="Times New Roman" w:hAnsi="Times New Roman" w:cs="Times New Roman"/>
          <w:sz w:val="28"/>
        </w:rPr>
        <w:t xml:space="preserve"> </w:t>
      </w:r>
      <w:r>
        <w:rPr>
          <w:rFonts w:ascii="Times New Roman" w:eastAsia="Times New Roman" w:hAnsi="Times New Roman" w:cs="Times New Roman"/>
          <w:sz w:val="28"/>
        </w:rPr>
        <w:t>entre a</w:t>
      </w:r>
      <w:r w:rsidR="00CE44FA" w:rsidRPr="00CE44FA">
        <w:rPr>
          <w:rFonts w:ascii="Times New Roman" w:eastAsia="Times New Roman" w:hAnsi="Times New Roman" w:cs="Times New Roman"/>
          <w:sz w:val="28"/>
        </w:rPr>
        <w:t xml:space="preserve"> técnica e preço </w:t>
      </w:r>
      <w:r>
        <w:rPr>
          <w:rFonts w:ascii="Times New Roman" w:eastAsia="Times New Roman" w:hAnsi="Times New Roman" w:cs="Times New Roman"/>
          <w:sz w:val="28"/>
        </w:rPr>
        <w:t>(</w:t>
      </w:r>
      <w:r w:rsidR="00CE44FA" w:rsidRPr="00CE44FA">
        <w:rPr>
          <w:rFonts w:ascii="Times New Roman" w:eastAsia="Times New Roman" w:hAnsi="Times New Roman" w:cs="Times New Roman"/>
          <w:sz w:val="28"/>
        </w:rPr>
        <w:t>70 a 30</w:t>
      </w:r>
      <w:r>
        <w:rPr>
          <w:rFonts w:ascii="Times New Roman" w:eastAsia="Times New Roman" w:hAnsi="Times New Roman" w:cs="Times New Roman"/>
          <w:sz w:val="28"/>
        </w:rPr>
        <w:t>), defendeu sua admissibilidade</w:t>
      </w:r>
      <w:r w:rsidR="00CE44FA" w:rsidRPr="00CE44FA">
        <w:rPr>
          <w:rFonts w:ascii="Times New Roman" w:eastAsia="Times New Roman" w:hAnsi="Times New Roman" w:cs="Times New Roman"/>
          <w:sz w:val="28"/>
        </w:rPr>
        <w:t xml:space="preserve"> </w:t>
      </w:r>
      <w:r w:rsidR="00173501">
        <w:rPr>
          <w:rFonts w:ascii="Times New Roman" w:eastAsia="Times New Roman" w:hAnsi="Times New Roman" w:cs="Times New Roman"/>
          <w:sz w:val="28"/>
        </w:rPr>
        <w:t>na legislação e jurisprudência pátria, sendo</w:t>
      </w:r>
      <w:r w:rsidR="00CE44FA">
        <w:rPr>
          <w:rFonts w:ascii="Times New Roman" w:eastAsia="Times New Roman" w:hAnsi="Times New Roman" w:cs="Times New Roman"/>
          <w:sz w:val="28"/>
        </w:rPr>
        <w:t xml:space="preserve"> justificável no caso concreto</w:t>
      </w:r>
      <w:r w:rsidR="00173501">
        <w:rPr>
          <w:rFonts w:ascii="Times New Roman" w:eastAsia="Times New Roman" w:hAnsi="Times New Roman" w:cs="Times New Roman"/>
          <w:sz w:val="28"/>
        </w:rPr>
        <w:t xml:space="preserve"> enquanto</w:t>
      </w:r>
      <w:r w:rsidR="00CE44FA" w:rsidRPr="00CE44FA">
        <w:rPr>
          <w:rFonts w:ascii="Times New Roman" w:eastAsia="Times New Roman" w:hAnsi="Times New Roman" w:cs="Times New Roman"/>
          <w:sz w:val="28"/>
        </w:rPr>
        <w:t xml:space="preserve"> opção discricionária para dar relevância ao cr</w:t>
      </w:r>
      <w:r w:rsidR="00474C26">
        <w:rPr>
          <w:rFonts w:ascii="Times New Roman" w:eastAsia="Times New Roman" w:hAnsi="Times New Roman" w:cs="Times New Roman"/>
          <w:sz w:val="28"/>
        </w:rPr>
        <w:t xml:space="preserve">itério técnico, de acordo com o tipo </w:t>
      </w:r>
      <w:r w:rsidR="00CE44FA" w:rsidRPr="00CE44FA">
        <w:rPr>
          <w:rFonts w:ascii="Times New Roman" w:eastAsia="Times New Roman" w:hAnsi="Times New Roman" w:cs="Times New Roman"/>
          <w:sz w:val="28"/>
        </w:rPr>
        <w:t>de licitação eleita.</w:t>
      </w:r>
      <w:r w:rsidR="00CE44FA">
        <w:rPr>
          <w:rFonts w:ascii="Times New Roman" w:eastAsia="Times New Roman" w:hAnsi="Times New Roman" w:cs="Times New Roman"/>
          <w:sz w:val="28"/>
        </w:rPr>
        <w:t xml:space="preserve"> Ademais, destacou a existência dessa possibilidade</w:t>
      </w:r>
      <w:r w:rsidR="00E54E9A">
        <w:rPr>
          <w:rFonts w:ascii="Times New Roman" w:eastAsia="Times New Roman" w:hAnsi="Times New Roman" w:cs="Times New Roman"/>
          <w:sz w:val="28"/>
        </w:rPr>
        <w:t xml:space="preserve"> </w:t>
      </w:r>
      <w:r w:rsidR="00BC01CC">
        <w:rPr>
          <w:rFonts w:ascii="Times New Roman" w:eastAsia="Times New Roman" w:hAnsi="Times New Roman" w:cs="Times New Roman"/>
          <w:sz w:val="28"/>
        </w:rPr>
        <w:t>n</w:t>
      </w:r>
      <w:r w:rsidR="00E54E9A">
        <w:rPr>
          <w:rFonts w:ascii="Times New Roman" w:eastAsia="Times New Roman" w:hAnsi="Times New Roman" w:cs="Times New Roman"/>
          <w:sz w:val="28"/>
        </w:rPr>
        <w:t>a</w:t>
      </w:r>
      <w:r w:rsidR="00E54E9A" w:rsidRPr="00E54E9A">
        <w:rPr>
          <w:rFonts w:ascii="Times New Roman" w:eastAsia="Times New Roman" w:hAnsi="Times New Roman" w:cs="Times New Roman"/>
          <w:sz w:val="28"/>
        </w:rPr>
        <w:t xml:space="preserve"> L</w:t>
      </w:r>
      <w:r w:rsidR="00E54E9A">
        <w:rPr>
          <w:rFonts w:ascii="Times New Roman" w:eastAsia="Times New Roman" w:hAnsi="Times New Roman" w:cs="Times New Roman"/>
          <w:sz w:val="28"/>
        </w:rPr>
        <w:t xml:space="preserve">ei </w:t>
      </w:r>
      <w:r w:rsidR="00E54E9A" w:rsidRPr="00E54E9A">
        <w:rPr>
          <w:rFonts w:ascii="Times New Roman" w:eastAsia="Times New Roman" w:hAnsi="Times New Roman" w:cs="Times New Roman"/>
          <w:sz w:val="28"/>
        </w:rPr>
        <w:t>F</w:t>
      </w:r>
      <w:r w:rsidR="00E54E9A">
        <w:rPr>
          <w:rFonts w:ascii="Times New Roman" w:eastAsia="Times New Roman" w:hAnsi="Times New Roman" w:cs="Times New Roman"/>
          <w:sz w:val="28"/>
        </w:rPr>
        <w:t xml:space="preserve">ederal </w:t>
      </w:r>
      <w:r w:rsidR="00E54E9A" w:rsidRPr="00E54E9A">
        <w:rPr>
          <w:rFonts w:ascii="Times New Roman" w:eastAsia="Times New Roman" w:hAnsi="Times New Roman" w:cs="Times New Roman"/>
          <w:sz w:val="28"/>
        </w:rPr>
        <w:t>nº 13</w:t>
      </w:r>
      <w:r w:rsidR="00E54E9A">
        <w:rPr>
          <w:rFonts w:ascii="Times New Roman" w:eastAsia="Times New Roman" w:hAnsi="Times New Roman" w:cs="Times New Roman"/>
          <w:sz w:val="28"/>
        </w:rPr>
        <w:t>.303/2016 (Lei das Estatais) e no Projeto de Lei</w:t>
      </w:r>
      <w:r w:rsidR="00E54E9A" w:rsidRPr="00E54E9A">
        <w:rPr>
          <w:rFonts w:ascii="Times New Roman" w:eastAsia="Times New Roman" w:hAnsi="Times New Roman" w:cs="Times New Roman"/>
          <w:sz w:val="28"/>
        </w:rPr>
        <w:t xml:space="preserve"> nº 1.292</w:t>
      </w:r>
      <w:r w:rsidR="00E54E9A">
        <w:rPr>
          <w:rFonts w:ascii="Times New Roman" w:eastAsia="Times New Roman" w:hAnsi="Times New Roman" w:cs="Times New Roman"/>
          <w:sz w:val="28"/>
        </w:rPr>
        <w:t xml:space="preserve"> (</w:t>
      </w:r>
      <w:r w:rsidR="00E54E9A" w:rsidRPr="00E54E9A">
        <w:rPr>
          <w:rFonts w:ascii="Times New Roman" w:eastAsia="Times New Roman" w:hAnsi="Times New Roman" w:cs="Times New Roman"/>
          <w:sz w:val="28"/>
        </w:rPr>
        <w:t>nova Lei de Licitações</w:t>
      </w:r>
      <w:r w:rsidR="00E54E9A">
        <w:rPr>
          <w:rFonts w:ascii="Times New Roman" w:eastAsia="Times New Roman" w:hAnsi="Times New Roman" w:cs="Times New Roman"/>
          <w:sz w:val="28"/>
        </w:rPr>
        <w:t>)</w:t>
      </w:r>
      <w:r w:rsidR="00E54E9A" w:rsidRPr="00E54E9A">
        <w:rPr>
          <w:rFonts w:ascii="Times New Roman" w:eastAsia="Times New Roman" w:hAnsi="Times New Roman" w:cs="Times New Roman"/>
          <w:sz w:val="28"/>
        </w:rPr>
        <w:t>, em tramitação no Senado Federal, cujos textos preveem como limitação para a ponderação mais relevante o percentual máximo de 70%. Menciona ainda um</w:t>
      </w:r>
      <w:r w:rsidR="00336A78">
        <w:rPr>
          <w:rFonts w:ascii="Times New Roman" w:eastAsia="Times New Roman" w:hAnsi="Times New Roman" w:cs="Times New Roman"/>
          <w:sz w:val="28"/>
        </w:rPr>
        <w:t xml:space="preserve">a diretriz da </w:t>
      </w:r>
      <w:r w:rsidR="00336A78">
        <w:rPr>
          <w:rFonts w:ascii="Times New Roman" w:eastAsia="Times New Roman" w:hAnsi="Times New Roman" w:cs="Times New Roman"/>
          <w:sz w:val="28"/>
        </w:rPr>
        <w:lastRenderedPageBreak/>
        <w:t>Comissão Europeia</w:t>
      </w:r>
      <w:r w:rsidR="00E54E9A" w:rsidRPr="00E54E9A">
        <w:rPr>
          <w:rFonts w:ascii="Times New Roman" w:eastAsia="Times New Roman" w:hAnsi="Times New Roman" w:cs="Times New Roman"/>
          <w:sz w:val="28"/>
        </w:rPr>
        <w:t xml:space="preserve"> que admite </w:t>
      </w:r>
      <w:r w:rsidR="00336A78">
        <w:rPr>
          <w:rFonts w:ascii="Times New Roman" w:eastAsia="Times New Roman" w:hAnsi="Times New Roman" w:cs="Times New Roman"/>
          <w:sz w:val="28"/>
        </w:rPr>
        <w:t xml:space="preserve">até mesmo </w:t>
      </w:r>
      <w:r w:rsidR="00E54E9A" w:rsidRPr="00E54E9A">
        <w:rPr>
          <w:rFonts w:ascii="Times New Roman" w:eastAsia="Times New Roman" w:hAnsi="Times New Roman" w:cs="Times New Roman"/>
          <w:sz w:val="28"/>
        </w:rPr>
        <w:t>a ponderação 80/20, adotada pela legislação espanhola para contratações análogas.</w:t>
      </w:r>
    </w:p>
    <w:p w:rsidR="0033727D" w:rsidRDefault="0033727D" w:rsidP="00CE44FA">
      <w:pPr>
        <w:spacing w:before="0" w:line="276" w:lineRule="auto"/>
        <w:ind w:left="142" w:firstLine="1559"/>
        <w:jc w:val="both"/>
        <w:rPr>
          <w:rFonts w:ascii="Times New Roman" w:eastAsia="Times New Roman" w:hAnsi="Times New Roman" w:cs="Times New Roman"/>
          <w:sz w:val="28"/>
        </w:rPr>
      </w:pPr>
    </w:p>
    <w:p w:rsidR="00CE44FA" w:rsidRDefault="0037334E" w:rsidP="0033727D">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Estabelecida a divergência</w:t>
      </w:r>
      <w:r w:rsidR="00CE44FA">
        <w:rPr>
          <w:rFonts w:ascii="Times New Roman" w:eastAsia="Times New Roman" w:hAnsi="Times New Roman" w:cs="Times New Roman"/>
          <w:sz w:val="28"/>
        </w:rPr>
        <w:t xml:space="preserve">, </w:t>
      </w:r>
      <w:r>
        <w:rPr>
          <w:rFonts w:ascii="Times New Roman" w:eastAsia="Times New Roman" w:hAnsi="Times New Roman" w:cs="Times New Roman"/>
          <w:sz w:val="28"/>
        </w:rPr>
        <w:t>faço as seguintes</w:t>
      </w:r>
      <w:r w:rsidR="00CE44FA">
        <w:rPr>
          <w:rFonts w:ascii="Times New Roman" w:eastAsia="Times New Roman" w:hAnsi="Times New Roman" w:cs="Times New Roman"/>
          <w:sz w:val="28"/>
        </w:rPr>
        <w:t xml:space="preserve"> considerações.</w:t>
      </w:r>
    </w:p>
    <w:p w:rsidR="000D4026" w:rsidRDefault="000D4026" w:rsidP="0033727D">
      <w:pPr>
        <w:spacing w:before="0" w:line="276" w:lineRule="auto"/>
        <w:ind w:left="142" w:firstLine="1559"/>
        <w:jc w:val="both"/>
        <w:rPr>
          <w:rFonts w:ascii="Times New Roman" w:eastAsia="Times New Roman" w:hAnsi="Times New Roman" w:cs="Times New Roman"/>
          <w:sz w:val="28"/>
        </w:rPr>
      </w:pPr>
    </w:p>
    <w:p w:rsidR="00CE44FA" w:rsidRPr="0040604F" w:rsidRDefault="00DC6F8B" w:rsidP="00CE44FA">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Primeiramente, </w:t>
      </w:r>
      <w:r w:rsidRPr="00DC6F8B">
        <w:rPr>
          <w:rFonts w:ascii="Times New Roman" w:eastAsia="Times New Roman" w:hAnsi="Times New Roman" w:cs="Times New Roman"/>
          <w:sz w:val="28"/>
          <w:u w:val="single"/>
        </w:rPr>
        <w:t>q</w:t>
      </w:r>
      <w:r w:rsidR="00CE44FA" w:rsidRPr="00DC6F8B">
        <w:rPr>
          <w:rFonts w:ascii="Times New Roman" w:eastAsia="Times New Roman" w:hAnsi="Times New Roman" w:cs="Times New Roman"/>
          <w:sz w:val="28"/>
          <w:u w:val="single"/>
        </w:rPr>
        <w:t>uanto à fórmula adotada e a faixa de variação das notas técnicas e de preço</w:t>
      </w:r>
      <w:r w:rsidR="00CE44FA">
        <w:rPr>
          <w:rFonts w:ascii="Times New Roman" w:eastAsia="Times New Roman" w:hAnsi="Times New Roman" w:cs="Times New Roman"/>
          <w:sz w:val="28"/>
        </w:rPr>
        <w:t xml:space="preserve">, </w:t>
      </w:r>
      <w:r w:rsidR="00336A78">
        <w:rPr>
          <w:rFonts w:ascii="Times New Roman" w:eastAsia="Times New Roman" w:hAnsi="Times New Roman" w:cs="Times New Roman"/>
          <w:sz w:val="28"/>
        </w:rPr>
        <w:t xml:space="preserve">entendo que </w:t>
      </w:r>
      <w:r w:rsidR="00CE44FA">
        <w:rPr>
          <w:rFonts w:ascii="Times New Roman" w:eastAsia="Times New Roman" w:hAnsi="Times New Roman" w:cs="Times New Roman"/>
          <w:sz w:val="28"/>
        </w:rPr>
        <w:t xml:space="preserve">assiste razão à </w:t>
      </w:r>
      <w:r>
        <w:rPr>
          <w:rFonts w:ascii="Times New Roman" w:eastAsia="Times New Roman" w:hAnsi="Times New Roman" w:cs="Times New Roman"/>
          <w:sz w:val="28"/>
        </w:rPr>
        <w:t xml:space="preserve">Auditoria. De fato, tendo presente que </w:t>
      </w:r>
      <w:r w:rsidR="00CE44FA">
        <w:rPr>
          <w:rFonts w:ascii="Times New Roman" w:eastAsia="Times New Roman" w:hAnsi="Times New Roman" w:cs="Times New Roman"/>
          <w:sz w:val="28"/>
        </w:rPr>
        <w:t xml:space="preserve">a fórmula adotada </w:t>
      </w:r>
      <w:r w:rsidR="000D4026">
        <w:rPr>
          <w:rFonts w:ascii="Times New Roman" w:eastAsia="Times New Roman" w:hAnsi="Times New Roman" w:cs="Times New Roman"/>
          <w:sz w:val="28"/>
        </w:rPr>
        <w:t>possui</w:t>
      </w:r>
      <w:r w:rsidR="00CE44FA">
        <w:rPr>
          <w:rFonts w:ascii="Times New Roman" w:eastAsia="Times New Roman" w:hAnsi="Times New Roman" w:cs="Times New Roman"/>
          <w:sz w:val="28"/>
        </w:rPr>
        <w:t xml:space="preserve"> origem em uma auditoria feita pela </w:t>
      </w:r>
      <w:r w:rsidR="00CE44FA" w:rsidRPr="00932B7B">
        <w:rPr>
          <w:rFonts w:ascii="Times New Roman" w:eastAsia="Times New Roman" w:hAnsi="Times New Roman" w:cs="Times New Roman"/>
          <w:sz w:val="28"/>
        </w:rPr>
        <w:t>Controladoria Geral da União</w:t>
      </w:r>
      <w:r w:rsidR="00CE44FA">
        <w:rPr>
          <w:rFonts w:ascii="Times New Roman" w:eastAsia="Times New Roman" w:hAnsi="Times New Roman" w:cs="Times New Roman"/>
          <w:sz w:val="28"/>
        </w:rPr>
        <w:t xml:space="preserve">, </w:t>
      </w:r>
      <w:r>
        <w:rPr>
          <w:rFonts w:ascii="Times New Roman" w:eastAsia="Times New Roman" w:hAnsi="Times New Roman" w:cs="Times New Roman"/>
          <w:sz w:val="28"/>
        </w:rPr>
        <w:t>não se pode afastar</w:t>
      </w:r>
      <w:r w:rsidR="00CE44FA">
        <w:rPr>
          <w:rFonts w:ascii="Times New Roman" w:eastAsia="Times New Roman" w:hAnsi="Times New Roman" w:cs="Times New Roman"/>
          <w:sz w:val="28"/>
        </w:rPr>
        <w:t xml:space="preserve"> </w:t>
      </w:r>
      <w:r w:rsidR="000D4026">
        <w:rPr>
          <w:rFonts w:ascii="Times New Roman" w:eastAsia="Times New Roman" w:hAnsi="Times New Roman" w:cs="Times New Roman"/>
          <w:sz w:val="28"/>
        </w:rPr>
        <w:t>as diretrizes estabelecidas por este</w:t>
      </w:r>
      <w:r w:rsidR="00CE44FA">
        <w:rPr>
          <w:rFonts w:ascii="Times New Roman" w:eastAsia="Times New Roman" w:hAnsi="Times New Roman" w:cs="Times New Roman"/>
          <w:sz w:val="28"/>
        </w:rPr>
        <w:t xml:space="preserve"> Órgão de Controle Interno ao propor o uso de tal fórmula </w:t>
      </w:r>
      <w:r w:rsidR="0037334E">
        <w:rPr>
          <w:rFonts w:ascii="Times New Roman" w:eastAsia="Times New Roman" w:hAnsi="Times New Roman" w:cs="Times New Roman"/>
          <w:sz w:val="28"/>
        </w:rPr>
        <w:t>(</w:t>
      </w:r>
      <w:r w:rsidR="00CE44FA">
        <w:rPr>
          <w:rFonts w:ascii="Times New Roman" w:eastAsia="Times New Roman" w:hAnsi="Times New Roman" w:cs="Times New Roman"/>
          <w:sz w:val="28"/>
        </w:rPr>
        <w:t>peça 68 do TC 11.171/2019</w:t>
      </w:r>
      <w:r w:rsidR="0037334E">
        <w:rPr>
          <w:rFonts w:ascii="Times New Roman" w:eastAsia="Times New Roman" w:hAnsi="Times New Roman" w:cs="Times New Roman"/>
          <w:sz w:val="28"/>
        </w:rPr>
        <w:t>)</w:t>
      </w:r>
      <w:r w:rsidR="0037334E">
        <w:rPr>
          <w:rStyle w:val="Refdenotaderodap"/>
          <w:rFonts w:ascii="Times New Roman" w:eastAsia="Times New Roman" w:hAnsi="Times New Roman" w:cs="Times New Roman"/>
          <w:sz w:val="28"/>
        </w:rPr>
        <w:footnoteReference w:id="5"/>
      </w:r>
      <w:r w:rsidR="0037334E">
        <w:rPr>
          <w:rFonts w:ascii="Times New Roman" w:eastAsia="Times New Roman" w:hAnsi="Times New Roman" w:cs="Times New Roman"/>
          <w:sz w:val="28"/>
        </w:rPr>
        <w:t>.</w:t>
      </w:r>
    </w:p>
    <w:p w:rsidR="00CE44FA" w:rsidRPr="00616FB6" w:rsidRDefault="00CE44FA" w:rsidP="00CE44FA">
      <w:pPr>
        <w:spacing w:before="0" w:line="276" w:lineRule="auto"/>
        <w:ind w:left="2268" w:firstLine="1559"/>
        <w:jc w:val="both"/>
        <w:rPr>
          <w:rFonts w:ascii="Times New Roman" w:eastAsia="Times New Roman" w:hAnsi="Times New Roman" w:cs="Times New Roman"/>
          <w:b/>
          <w:i/>
        </w:rPr>
      </w:pPr>
    </w:p>
    <w:p w:rsidR="00CE44FA" w:rsidRDefault="00DC6F8B" w:rsidP="00336A78">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Nesses termos</w:t>
      </w:r>
      <w:r w:rsidR="00CE44FA">
        <w:rPr>
          <w:rFonts w:ascii="Times New Roman" w:eastAsia="Times New Roman" w:hAnsi="Times New Roman" w:cs="Times New Roman"/>
          <w:sz w:val="28"/>
        </w:rPr>
        <w:t>, uma vez que a</w:t>
      </w:r>
      <w:r>
        <w:rPr>
          <w:rFonts w:ascii="Times New Roman" w:eastAsia="Times New Roman" w:hAnsi="Times New Roman" w:cs="Times New Roman"/>
          <w:sz w:val="28"/>
        </w:rPr>
        <w:t xml:space="preserve"> Nota Técnica varia de 60 a 100 -</w:t>
      </w:r>
      <w:r w:rsidR="00CE44FA">
        <w:rPr>
          <w:rFonts w:ascii="Times New Roman" w:eastAsia="Times New Roman" w:hAnsi="Times New Roman" w:cs="Times New Roman"/>
          <w:sz w:val="28"/>
        </w:rPr>
        <w:t xml:space="preserve"> pois </w:t>
      </w:r>
      <w:r w:rsidR="00CE44FA" w:rsidRPr="005E5684">
        <w:rPr>
          <w:rFonts w:ascii="Times New Roman" w:eastAsia="Times New Roman" w:hAnsi="Times New Roman" w:cs="Times New Roman"/>
          <w:sz w:val="28"/>
        </w:rPr>
        <w:t>serão desclassificados os licitantes que não atingirem a Nota Técnica (NT)</w:t>
      </w:r>
      <w:r>
        <w:rPr>
          <w:rFonts w:ascii="Times New Roman" w:eastAsia="Times New Roman" w:hAnsi="Times New Roman" w:cs="Times New Roman"/>
          <w:sz w:val="28"/>
        </w:rPr>
        <w:t xml:space="preserve"> mínima de 60 (sessenta) pontos -</w:t>
      </w:r>
      <w:r w:rsidR="00CE44FA" w:rsidRPr="005E5684">
        <w:rPr>
          <w:rFonts w:ascii="Times New Roman" w:eastAsia="Times New Roman" w:hAnsi="Times New Roman" w:cs="Times New Roman"/>
          <w:sz w:val="28"/>
        </w:rPr>
        <w:t xml:space="preserve"> </w:t>
      </w:r>
      <w:r w:rsidR="00CE44FA" w:rsidRPr="00F32D67">
        <w:rPr>
          <w:rFonts w:ascii="Times New Roman" w:eastAsia="Times New Roman" w:hAnsi="Times New Roman" w:cs="Times New Roman"/>
          <w:sz w:val="28"/>
        </w:rPr>
        <w:t xml:space="preserve">deve-se alterar </w:t>
      </w:r>
      <w:r w:rsidR="000D4026">
        <w:rPr>
          <w:rFonts w:ascii="Times New Roman" w:eastAsia="Times New Roman" w:hAnsi="Times New Roman" w:cs="Times New Roman"/>
          <w:sz w:val="28"/>
        </w:rPr>
        <w:t xml:space="preserve">o critério para </w:t>
      </w:r>
      <w:r w:rsidR="00CE44FA" w:rsidRPr="00F32D67">
        <w:rPr>
          <w:rFonts w:ascii="Times New Roman" w:eastAsia="Times New Roman" w:hAnsi="Times New Roman" w:cs="Times New Roman"/>
          <w:sz w:val="28"/>
        </w:rPr>
        <w:t>a nota de preços para que</w:t>
      </w:r>
      <w:r w:rsidR="00336A78">
        <w:rPr>
          <w:rFonts w:ascii="Times New Roman" w:eastAsia="Times New Roman" w:hAnsi="Times New Roman" w:cs="Times New Roman"/>
          <w:sz w:val="28"/>
        </w:rPr>
        <w:t>,</w:t>
      </w:r>
      <w:r w:rsidR="00CE44FA" w:rsidRPr="00F32D67">
        <w:rPr>
          <w:rFonts w:ascii="Times New Roman" w:eastAsia="Times New Roman" w:hAnsi="Times New Roman" w:cs="Times New Roman"/>
          <w:sz w:val="28"/>
        </w:rPr>
        <w:t xml:space="preserve"> ao invés de variar de 30 a 100, </w:t>
      </w:r>
      <w:r w:rsidR="00336A78">
        <w:rPr>
          <w:rFonts w:ascii="Times New Roman" w:eastAsia="Times New Roman" w:hAnsi="Times New Roman" w:cs="Times New Roman"/>
          <w:sz w:val="28"/>
        </w:rPr>
        <w:t>o faça</w:t>
      </w:r>
      <w:r w:rsidR="00CE44FA" w:rsidRPr="00F32D67">
        <w:rPr>
          <w:rFonts w:ascii="Times New Roman" w:eastAsia="Times New Roman" w:hAnsi="Times New Roman" w:cs="Times New Roman"/>
          <w:sz w:val="28"/>
        </w:rPr>
        <w:t xml:space="preserve"> na mesma faixa da Nota T</w:t>
      </w:r>
      <w:r w:rsidR="00F32D67" w:rsidRPr="00F32D67">
        <w:rPr>
          <w:rFonts w:ascii="Times New Roman" w:eastAsia="Times New Roman" w:hAnsi="Times New Roman" w:cs="Times New Roman"/>
          <w:sz w:val="28"/>
        </w:rPr>
        <w:t>écnica, ou seja, entre 60 e 100</w:t>
      </w:r>
      <w:r w:rsidR="00F32D67">
        <w:rPr>
          <w:rFonts w:ascii="Times New Roman" w:eastAsia="Times New Roman" w:hAnsi="Times New Roman" w:cs="Times New Roman"/>
          <w:sz w:val="28"/>
        </w:rPr>
        <w:t xml:space="preserve"> (d</w:t>
      </w:r>
      <w:r w:rsidR="0037334E">
        <w:rPr>
          <w:rFonts w:ascii="Times New Roman" w:eastAsia="Times New Roman" w:hAnsi="Times New Roman" w:cs="Times New Roman"/>
          <w:sz w:val="28"/>
        </w:rPr>
        <w:t>eterminação será feita</w:t>
      </w:r>
      <w:r w:rsidR="00F32D67">
        <w:rPr>
          <w:rFonts w:ascii="Times New Roman" w:eastAsia="Times New Roman" w:hAnsi="Times New Roman" w:cs="Times New Roman"/>
          <w:sz w:val="28"/>
        </w:rPr>
        <w:t>,</w:t>
      </w:r>
      <w:r w:rsidR="0037334E">
        <w:rPr>
          <w:rFonts w:ascii="Times New Roman" w:eastAsia="Times New Roman" w:hAnsi="Times New Roman" w:cs="Times New Roman"/>
          <w:sz w:val="28"/>
        </w:rPr>
        <w:t xml:space="preserve"> nesse sentido</w:t>
      </w:r>
      <w:r w:rsidR="00F32D67">
        <w:rPr>
          <w:rFonts w:ascii="Times New Roman" w:eastAsia="Times New Roman" w:hAnsi="Times New Roman" w:cs="Times New Roman"/>
          <w:sz w:val="28"/>
        </w:rPr>
        <w:t>,</w:t>
      </w:r>
      <w:r w:rsidR="00336A78">
        <w:rPr>
          <w:rFonts w:ascii="Times New Roman" w:eastAsia="Times New Roman" w:hAnsi="Times New Roman" w:cs="Times New Roman"/>
          <w:sz w:val="28"/>
        </w:rPr>
        <w:t xml:space="preserve"> ao final dest</w:t>
      </w:r>
      <w:r w:rsidR="0037334E">
        <w:rPr>
          <w:rFonts w:ascii="Times New Roman" w:eastAsia="Times New Roman" w:hAnsi="Times New Roman" w:cs="Times New Roman"/>
          <w:sz w:val="28"/>
        </w:rPr>
        <w:t>a decisão</w:t>
      </w:r>
      <w:r w:rsidR="00F32D67">
        <w:rPr>
          <w:rFonts w:ascii="Times New Roman" w:eastAsia="Times New Roman" w:hAnsi="Times New Roman" w:cs="Times New Roman"/>
          <w:sz w:val="28"/>
        </w:rPr>
        <w:t>)</w:t>
      </w:r>
      <w:r w:rsidR="0037334E">
        <w:rPr>
          <w:rFonts w:ascii="Times New Roman" w:eastAsia="Times New Roman" w:hAnsi="Times New Roman" w:cs="Times New Roman"/>
          <w:sz w:val="28"/>
        </w:rPr>
        <w:t>.</w:t>
      </w:r>
    </w:p>
    <w:p w:rsidR="00336A78" w:rsidRDefault="00336A78" w:rsidP="00336A78">
      <w:pPr>
        <w:spacing w:before="0" w:line="276" w:lineRule="auto"/>
        <w:ind w:left="142" w:firstLine="1559"/>
        <w:jc w:val="both"/>
        <w:rPr>
          <w:rFonts w:ascii="Times New Roman" w:eastAsia="Times New Roman" w:hAnsi="Times New Roman" w:cs="Times New Roman"/>
          <w:sz w:val="28"/>
        </w:rPr>
      </w:pPr>
    </w:p>
    <w:p w:rsidR="004A5404" w:rsidRDefault="00CE44FA" w:rsidP="004A5404">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Não obstante, salienta-se, conforme orientação da CGU,</w:t>
      </w:r>
      <w:r w:rsidRPr="00D718A3">
        <w:rPr>
          <w:rFonts w:ascii="Times New Roman" w:eastAsia="Times New Roman" w:hAnsi="Times New Roman" w:cs="Times New Roman"/>
          <w:sz w:val="28"/>
        </w:rPr>
        <w:t xml:space="preserve"> que amb</w:t>
      </w:r>
      <w:r>
        <w:rPr>
          <w:rFonts w:ascii="Times New Roman" w:eastAsia="Times New Roman" w:hAnsi="Times New Roman" w:cs="Times New Roman"/>
          <w:sz w:val="28"/>
        </w:rPr>
        <w:t xml:space="preserve">as as notas, </w:t>
      </w:r>
      <w:r w:rsidR="00336A78">
        <w:rPr>
          <w:rFonts w:ascii="Times New Roman" w:eastAsia="Times New Roman" w:hAnsi="Times New Roman" w:cs="Times New Roman"/>
          <w:sz w:val="28"/>
        </w:rPr>
        <w:t>da técnica e do</w:t>
      </w:r>
      <w:r>
        <w:rPr>
          <w:rFonts w:ascii="Times New Roman" w:eastAsia="Times New Roman" w:hAnsi="Times New Roman" w:cs="Times New Roman"/>
          <w:sz w:val="28"/>
        </w:rPr>
        <w:t xml:space="preserve"> preço,</w:t>
      </w:r>
      <w:r w:rsidR="000B55DA">
        <w:rPr>
          <w:rFonts w:ascii="Times New Roman" w:eastAsia="Times New Roman" w:hAnsi="Times New Roman" w:cs="Times New Roman"/>
          <w:sz w:val="28"/>
        </w:rPr>
        <w:t xml:space="preserve"> devem variar na mesma faixa</w:t>
      </w:r>
      <w:r w:rsidRPr="00D718A3">
        <w:rPr>
          <w:rFonts w:ascii="Times New Roman" w:eastAsia="Times New Roman" w:hAnsi="Times New Roman" w:cs="Times New Roman"/>
          <w:sz w:val="28"/>
        </w:rPr>
        <w:t xml:space="preserve"> seja ela de zero a cem, cinquenta a cem, ou qualquer out</w:t>
      </w:r>
      <w:r>
        <w:rPr>
          <w:rFonts w:ascii="Times New Roman" w:eastAsia="Times New Roman" w:hAnsi="Times New Roman" w:cs="Times New Roman"/>
          <w:sz w:val="28"/>
        </w:rPr>
        <w:t>ra, desde que igual par</w:t>
      </w:r>
      <w:r w:rsidR="000B55DA">
        <w:rPr>
          <w:rFonts w:ascii="Times New Roman" w:eastAsia="Times New Roman" w:hAnsi="Times New Roman" w:cs="Times New Roman"/>
          <w:sz w:val="28"/>
        </w:rPr>
        <w:t>a</w:t>
      </w:r>
      <w:r>
        <w:rPr>
          <w:rFonts w:ascii="Times New Roman" w:eastAsia="Times New Roman" w:hAnsi="Times New Roman" w:cs="Times New Roman"/>
          <w:sz w:val="28"/>
        </w:rPr>
        <w:t xml:space="preserve"> </w:t>
      </w:r>
      <w:r w:rsidR="000B55DA">
        <w:rPr>
          <w:rFonts w:ascii="Times New Roman" w:eastAsia="Times New Roman" w:hAnsi="Times New Roman" w:cs="Times New Roman"/>
          <w:sz w:val="28"/>
        </w:rPr>
        <w:t xml:space="preserve">as duas, </w:t>
      </w:r>
      <w:r w:rsidR="000B55DA">
        <w:rPr>
          <w:rFonts w:ascii="Times New Roman" w:eastAsia="Times New Roman" w:hAnsi="Times New Roman" w:cs="Times New Roman"/>
          <w:sz w:val="28"/>
        </w:rPr>
        <w:lastRenderedPageBreak/>
        <w:t xml:space="preserve">sendo </w:t>
      </w:r>
      <w:r w:rsidR="00E63DD2">
        <w:rPr>
          <w:rFonts w:ascii="Times New Roman" w:eastAsia="Times New Roman" w:hAnsi="Times New Roman" w:cs="Times New Roman"/>
          <w:sz w:val="28"/>
        </w:rPr>
        <w:t>discricionária</w:t>
      </w:r>
      <w:r w:rsidR="000B55DA">
        <w:rPr>
          <w:rFonts w:ascii="Times New Roman" w:eastAsia="Times New Roman" w:hAnsi="Times New Roman" w:cs="Times New Roman"/>
          <w:sz w:val="28"/>
        </w:rPr>
        <w:t xml:space="preserve"> para a Administração a escolha </w:t>
      </w:r>
      <w:r w:rsidR="000D4026">
        <w:rPr>
          <w:rFonts w:ascii="Times New Roman" w:eastAsia="Times New Roman" w:hAnsi="Times New Roman" w:cs="Times New Roman"/>
          <w:sz w:val="28"/>
        </w:rPr>
        <w:t xml:space="preserve">sobre </w:t>
      </w:r>
      <w:r w:rsidR="00336A78">
        <w:rPr>
          <w:rFonts w:ascii="Times New Roman" w:eastAsia="Times New Roman" w:hAnsi="Times New Roman" w:cs="Times New Roman"/>
          <w:sz w:val="28"/>
        </w:rPr>
        <w:t>em</w:t>
      </w:r>
      <w:r w:rsidR="000B55DA" w:rsidRPr="000B55DA">
        <w:rPr>
          <w:rFonts w:ascii="Times New Roman" w:eastAsia="Times New Roman" w:hAnsi="Times New Roman" w:cs="Times New Roman"/>
          <w:sz w:val="28"/>
        </w:rPr>
        <w:t xml:space="preserve"> </w:t>
      </w:r>
      <w:r w:rsidR="000B55DA">
        <w:rPr>
          <w:rFonts w:ascii="Times New Roman" w:eastAsia="Times New Roman" w:hAnsi="Times New Roman" w:cs="Times New Roman"/>
          <w:sz w:val="28"/>
        </w:rPr>
        <w:t>qual faixa as notas irão variar,</w:t>
      </w:r>
      <w:r>
        <w:rPr>
          <w:rFonts w:ascii="Times New Roman" w:eastAsia="Times New Roman" w:hAnsi="Times New Roman" w:cs="Times New Roman"/>
          <w:sz w:val="28"/>
        </w:rPr>
        <w:t xml:space="preserve"> de</w:t>
      </w:r>
      <w:r w:rsidR="000B55DA">
        <w:rPr>
          <w:rFonts w:ascii="Times New Roman" w:eastAsia="Times New Roman" w:hAnsi="Times New Roman" w:cs="Times New Roman"/>
          <w:sz w:val="28"/>
        </w:rPr>
        <w:t>sde que devidamente justificado.</w:t>
      </w:r>
      <w:r>
        <w:rPr>
          <w:rFonts w:ascii="Times New Roman" w:eastAsia="Times New Roman" w:hAnsi="Times New Roman" w:cs="Times New Roman"/>
          <w:sz w:val="28"/>
        </w:rPr>
        <w:t xml:space="preserve"> </w:t>
      </w:r>
    </w:p>
    <w:p w:rsidR="000D4026" w:rsidRDefault="000D4026" w:rsidP="004A5404">
      <w:pPr>
        <w:spacing w:before="0" w:line="276" w:lineRule="auto"/>
        <w:ind w:left="142" w:firstLine="1559"/>
        <w:jc w:val="both"/>
        <w:rPr>
          <w:rFonts w:ascii="Times New Roman" w:eastAsia="Times New Roman" w:hAnsi="Times New Roman" w:cs="Times New Roman"/>
          <w:sz w:val="28"/>
        </w:rPr>
      </w:pPr>
    </w:p>
    <w:p w:rsidR="00F536A8" w:rsidRPr="00A9143F" w:rsidRDefault="00DC6F8B" w:rsidP="004A5404">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Por sua vez, </w:t>
      </w:r>
      <w:r w:rsidRPr="00DC6F8B">
        <w:rPr>
          <w:rFonts w:ascii="Times New Roman" w:eastAsia="Times New Roman" w:hAnsi="Times New Roman" w:cs="Times New Roman"/>
          <w:sz w:val="28"/>
          <w:u w:val="single"/>
        </w:rPr>
        <w:t>q</w:t>
      </w:r>
      <w:r w:rsidR="000B55DA" w:rsidRPr="00DC6F8B">
        <w:rPr>
          <w:rFonts w:ascii="Times New Roman" w:eastAsia="Times New Roman" w:hAnsi="Times New Roman" w:cs="Times New Roman"/>
          <w:sz w:val="28"/>
          <w:u w:val="single"/>
        </w:rPr>
        <w:t>uanto à ponderação da nota</w:t>
      </w:r>
      <w:r w:rsidR="007A5480" w:rsidRPr="00DC6F8B">
        <w:rPr>
          <w:rFonts w:ascii="Times New Roman" w:eastAsia="Times New Roman" w:hAnsi="Times New Roman" w:cs="Times New Roman"/>
          <w:sz w:val="28"/>
          <w:u w:val="single"/>
        </w:rPr>
        <w:t xml:space="preserve"> </w:t>
      </w:r>
      <w:r w:rsidR="00BC01CC" w:rsidRPr="00DC6F8B">
        <w:rPr>
          <w:rFonts w:ascii="Times New Roman" w:eastAsia="Times New Roman" w:hAnsi="Times New Roman" w:cs="Times New Roman"/>
          <w:sz w:val="28"/>
          <w:u w:val="single"/>
        </w:rPr>
        <w:t>nas licitações de técnica e preço,</w:t>
      </w:r>
      <w:r w:rsidR="00BC01CC">
        <w:rPr>
          <w:rFonts w:ascii="Times New Roman" w:eastAsia="Times New Roman" w:hAnsi="Times New Roman" w:cs="Times New Roman"/>
          <w:sz w:val="28"/>
        </w:rPr>
        <w:t xml:space="preserve"> </w:t>
      </w:r>
      <w:r w:rsidR="007A5480">
        <w:rPr>
          <w:rFonts w:ascii="Times New Roman" w:eastAsia="Times New Roman" w:hAnsi="Times New Roman" w:cs="Times New Roman"/>
          <w:sz w:val="28"/>
        </w:rPr>
        <w:t>a</w:t>
      </w:r>
      <w:r w:rsidR="00F536A8">
        <w:rPr>
          <w:rFonts w:ascii="Times New Roman" w:eastAsia="Times New Roman" w:hAnsi="Times New Roman" w:cs="Times New Roman"/>
          <w:sz w:val="28"/>
        </w:rPr>
        <w:t xml:space="preserve"> doutrina de </w:t>
      </w:r>
      <w:r w:rsidR="00F536A8" w:rsidRPr="00A9143F">
        <w:rPr>
          <w:rFonts w:ascii="Times New Roman" w:eastAsia="Times New Roman" w:hAnsi="Times New Roman" w:cs="Times New Roman"/>
          <w:sz w:val="28"/>
        </w:rPr>
        <w:t xml:space="preserve">Marçal Justen Filho </w:t>
      </w:r>
      <w:r w:rsidR="00F536A8">
        <w:rPr>
          <w:rFonts w:ascii="Times New Roman" w:eastAsia="Times New Roman" w:hAnsi="Times New Roman" w:cs="Times New Roman"/>
          <w:sz w:val="28"/>
        </w:rPr>
        <w:t>ressalta</w:t>
      </w:r>
      <w:r w:rsidR="00CE44FA">
        <w:rPr>
          <w:rFonts w:ascii="Times New Roman" w:eastAsia="Times New Roman" w:hAnsi="Times New Roman" w:cs="Times New Roman"/>
          <w:sz w:val="28"/>
        </w:rPr>
        <w:t xml:space="preserve"> quanto aos limites máximos aceitáveis para ponderação</w:t>
      </w:r>
      <w:r w:rsidR="00BC01CC">
        <w:rPr>
          <w:rStyle w:val="Refdenotaderodap"/>
          <w:rFonts w:ascii="Times New Roman" w:eastAsia="Times New Roman" w:hAnsi="Times New Roman" w:cs="Times New Roman"/>
          <w:sz w:val="28"/>
        </w:rPr>
        <w:footnoteReference w:id="6"/>
      </w:r>
      <w:r w:rsidR="000B55DA">
        <w:rPr>
          <w:rFonts w:ascii="Times New Roman" w:eastAsia="Times New Roman" w:hAnsi="Times New Roman" w:cs="Times New Roman"/>
          <w:sz w:val="28"/>
        </w:rPr>
        <w:t>:</w:t>
      </w:r>
    </w:p>
    <w:p w:rsidR="00F536A8" w:rsidRPr="00BC01CC" w:rsidRDefault="00F536A8" w:rsidP="00BC01CC">
      <w:pPr>
        <w:autoSpaceDE w:val="0"/>
        <w:autoSpaceDN w:val="0"/>
        <w:adjustRightInd w:val="0"/>
        <w:spacing w:after="60" w:line="276" w:lineRule="auto"/>
        <w:ind w:left="1701"/>
        <w:jc w:val="both"/>
        <w:rPr>
          <w:rFonts w:ascii="Times New Roman" w:hAnsi="Times New Roman" w:cs="Times New Roman"/>
        </w:rPr>
      </w:pPr>
      <w:r w:rsidRPr="00BC01CC">
        <w:rPr>
          <w:rFonts w:ascii="Times New Roman" w:hAnsi="Times New Roman" w:cs="Times New Roman"/>
        </w:rPr>
        <w:t>“A valoração da proposta técnica e o valor da proposta de preço deverão ser transformados em valores numéricos, produzi</w:t>
      </w:r>
      <w:r w:rsidR="00BC01CC">
        <w:rPr>
          <w:rFonts w:ascii="Times New Roman" w:hAnsi="Times New Roman" w:cs="Times New Roman"/>
        </w:rPr>
        <w:t xml:space="preserve">ndo-se a partir daí uma média. </w:t>
      </w:r>
      <w:r w:rsidRPr="00BC01CC">
        <w:rPr>
          <w:rFonts w:ascii="Times New Roman" w:hAnsi="Times New Roman" w:cs="Times New Roman"/>
          <w:b/>
        </w:rPr>
        <w:t>Existe uma margem de discricionariedade para a Administração dispor sobre isso no edital</w:t>
      </w:r>
      <w:r w:rsidRPr="00BC01CC">
        <w:rPr>
          <w:rFonts w:ascii="Times New Roman" w:hAnsi="Times New Roman" w:cs="Times New Roman"/>
        </w:rPr>
        <w:t>. Faculta-se que o edital inclusive reco</w:t>
      </w:r>
      <w:r w:rsidR="00336A78">
        <w:rPr>
          <w:rFonts w:ascii="Times New Roman" w:hAnsi="Times New Roman" w:cs="Times New Roman"/>
        </w:rPr>
        <w:t xml:space="preserve">nheça a importância maior para </w:t>
      </w:r>
      <w:r w:rsidRPr="00BC01CC">
        <w:rPr>
          <w:rFonts w:ascii="Times New Roman" w:hAnsi="Times New Roman" w:cs="Times New Roman"/>
        </w:rPr>
        <w:t>a</w:t>
      </w:r>
      <w:r w:rsidR="00336A78">
        <w:rPr>
          <w:rFonts w:ascii="Times New Roman" w:hAnsi="Times New Roman" w:cs="Times New Roman"/>
        </w:rPr>
        <w:t xml:space="preserve"> </w:t>
      </w:r>
      <w:r w:rsidRPr="00BC01CC">
        <w:rPr>
          <w:rFonts w:ascii="Times New Roman" w:hAnsi="Times New Roman" w:cs="Times New Roman"/>
        </w:rPr>
        <w:t xml:space="preserve">nota técnica. Todavia, essa autonomia não autoriza reconhecer predominância tão intensa à nota técnica que a proposta econômica deixaria de apresentar relevância. Em termos concretos, a solução mais equilibrada é reconhecer que a proposta vencedora será determinada por uma fórmula que reconheça peso igual para as notas técnica e preço. </w:t>
      </w:r>
      <w:r w:rsidRPr="00BC01CC">
        <w:rPr>
          <w:rFonts w:ascii="Times New Roman" w:hAnsi="Times New Roman" w:cs="Times New Roman"/>
          <w:b/>
        </w:rPr>
        <w:t>Pode-se admitir a atribuição de peso maior à nota técnica mediante justificativa adequada. Mas se afigura desarrazoado atribuir à nota técnica peso superior a 7 e à nota de preço peso inferior a 3</w:t>
      </w:r>
      <w:r w:rsidRPr="00BC01CC">
        <w:rPr>
          <w:rFonts w:ascii="Times New Roman" w:hAnsi="Times New Roman" w:cs="Times New Roman"/>
        </w:rPr>
        <w:t>.”</w:t>
      </w:r>
      <w:r w:rsidR="00BC01CC">
        <w:rPr>
          <w:rFonts w:ascii="Times New Roman" w:hAnsi="Times New Roman" w:cs="Times New Roman"/>
        </w:rPr>
        <w:t xml:space="preserve"> (grifo nosso)</w:t>
      </w:r>
    </w:p>
    <w:p w:rsidR="00C861CA" w:rsidRDefault="00C861CA" w:rsidP="00F536A8">
      <w:pPr>
        <w:spacing w:before="0" w:line="276" w:lineRule="auto"/>
        <w:jc w:val="both"/>
        <w:rPr>
          <w:rFonts w:ascii="Times New Roman" w:eastAsia="Times New Roman" w:hAnsi="Times New Roman" w:cs="Times New Roman"/>
          <w:sz w:val="28"/>
        </w:rPr>
      </w:pPr>
    </w:p>
    <w:p w:rsidR="00DF7F4F" w:rsidRDefault="00DC6F8B" w:rsidP="00BC01CC">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D</w:t>
      </w:r>
      <w:r w:rsidR="00D75598">
        <w:rPr>
          <w:rFonts w:ascii="Times New Roman" w:eastAsia="Times New Roman" w:hAnsi="Times New Roman" w:cs="Times New Roman"/>
          <w:sz w:val="28"/>
        </w:rPr>
        <w:t>ada a</w:t>
      </w:r>
      <w:r w:rsidR="00FB0AB3" w:rsidRPr="00BC01CC">
        <w:rPr>
          <w:rFonts w:ascii="Times New Roman" w:eastAsia="Times New Roman" w:hAnsi="Times New Roman" w:cs="Times New Roman"/>
          <w:sz w:val="28"/>
        </w:rPr>
        <w:t xml:space="preserve"> situação excepcional</w:t>
      </w:r>
      <w:r>
        <w:rPr>
          <w:rFonts w:ascii="Times New Roman" w:eastAsia="Times New Roman" w:hAnsi="Times New Roman" w:cs="Times New Roman"/>
          <w:sz w:val="28"/>
        </w:rPr>
        <w:t xml:space="preserve"> da adoção desse tipo de licitação</w:t>
      </w:r>
      <w:r w:rsidR="00FB0AB3" w:rsidRPr="00BC01CC">
        <w:rPr>
          <w:rFonts w:ascii="Times New Roman" w:eastAsia="Times New Roman" w:hAnsi="Times New Roman" w:cs="Times New Roman"/>
          <w:sz w:val="28"/>
        </w:rPr>
        <w:t xml:space="preserve">, a jurisprudência do Tribunal de Contas da União </w:t>
      </w:r>
      <w:r>
        <w:rPr>
          <w:rFonts w:ascii="Times New Roman" w:eastAsia="Times New Roman" w:hAnsi="Times New Roman" w:cs="Times New Roman"/>
          <w:sz w:val="28"/>
        </w:rPr>
        <w:t xml:space="preserve">também </w:t>
      </w:r>
      <w:r w:rsidR="00FB0AB3" w:rsidRPr="00BC01CC">
        <w:rPr>
          <w:rFonts w:ascii="Times New Roman" w:eastAsia="Times New Roman" w:hAnsi="Times New Roman" w:cs="Times New Roman"/>
          <w:sz w:val="28"/>
        </w:rPr>
        <w:t xml:space="preserve">é firme no sentido de que os fatores de ponderação entre as notas das propostas de técnica e de preço devem ser expressamente fundamentados no processo licitatório, a fim de evidenciar sua razoabilidade e demonstrar que não representam privilégio ou proporcionam aumento indevido de preço em decorrência de diferenças técnicas não substanciais (Acórdão 479/2015-TCU-Plenário). </w:t>
      </w:r>
    </w:p>
    <w:p w:rsidR="00D75598" w:rsidRPr="00972965" w:rsidRDefault="00D75598" w:rsidP="00BC01CC">
      <w:pPr>
        <w:spacing w:before="0" w:line="276" w:lineRule="auto"/>
        <w:ind w:left="142" w:firstLine="1559"/>
        <w:jc w:val="both"/>
        <w:rPr>
          <w:rFonts w:asciiTheme="minorHAnsi" w:hAnsiTheme="minorHAnsi" w:cs="Arial"/>
          <w:i/>
          <w:sz w:val="20"/>
          <w:szCs w:val="20"/>
        </w:rPr>
      </w:pPr>
    </w:p>
    <w:p w:rsidR="00DC6F8B" w:rsidRDefault="00CE44FA" w:rsidP="00CE44FA">
      <w:pPr>
        <w:spacing w:before="0" w:line="276" w:lineRule="auto"/>
        <w:ind w:left="142" w:firstLine="1559"/>
        <w:jc w:val="both"/>
        <w:rPr>
          <w:rFonts w:ascii="Times New Roman" w:eastAsia="Times New Roman" w:hAnsi="Times New Roman" w:cs="Times New Roman"/>
          <w:i/>
          <w:sz w:val="28"/>
        </w:rPr>
      </w:pPr>
      <w:r>
        <w:rPr>
          <w:rFonts w:ascii="Times New Roman" w:eastAsia="Times New Roman" w:hAnsi="Times New Roman" w:cs="Times New Roman"/>
          <w:sz w:val="28"/>
        </w:rPr>
        <w:t>Nesse sentindo, entendeu também o Tribunal de Contas do Estado de Minas Gerais – TCE-MG, na Denúncia</w:t>
      </w:r>
      <w:r w:rsidRPr="00CE0FFF">
        <w:rPr>
          <w:rFonts w:ascii="Times New Roman" w:eastAsia="Times New Roman" w:hAnsi="Times New Roman" w:cs="Times New Roman"/>
          <w:sz w:val="28"/>
        </w:rPr>
        <w:t xml:space="preserve"> </w:t>
      </w:r>
      <w:r>
        <w:rPr>
          <w:rFonts w:ascii="Times New Roman" w:eastAsia="Times New Roman" w:hAnsi="Times New Roman" w:cs="Times New Roman"/>
          <w:sz w:val="28"/>
        </w:rPr>
        <w:t>nº</w:t>
      </w:r>
      <w:r w:rsidRPr="00CE0FFF">
        <w:rPr>
          <w:rFonts w:ascii="Times New Roman" w:eastAsia="Times New Roman" w:hAnsi="Times New Roman" w:cs="Times New Roman"/>
          <w:sz w:val="28"/>
        </w:rPr>
        <w:t xml:space="preserve"> 1066617</w:t>
      </w:r>
      <w:r>
        <w:rPr>
          <w:rFonts w:ascii="Times New Roman" w:eastAsia="Times New Roman" w:hAnsi="Times New Roman" w:cs="Times New Roman"/>
          <w:sz w:val="28"/>
        </w:rPr>
        <w:t>, que</w:t>
      </w:r>
      <w:r w:rsidR="00D75598">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B35189">
        <w:rPr>
          <w:rFonts w:ascii="Times New Roman" w:eastAsia="Times New Roman" w:hAnsi="Times New Roman" w:cs="Times New Roman"/>
          <w:i/>
          <w:sz w:val="28"/>
        </w:rPr>
        <w:t xml:space="preserve">partindo do pressuposto de que o uso do tipo de licitação “técnica e preço” já configura uma exceção, a Primeira Câmara concluiu que a atribuição de </w:t>
      </w:r>
      <w:r w:rsidRPr="00B35189">
        <w:rPr>
          <w:rFonts w:ascii="Times New Roman" w:eastAsia="Times New Roman" w:hAnsi="Times New Roman" w:cs="Times New Roman"/>
          <w:i/>
          <w:sz w:val="28"/>
        </w:rPr>
        <w:lastRenderedPageBreak/>
        <w:t xml:space="preserve">maior peso à nota técnica, em detrimento da nota de preço, constitui </w:t>
      </w:r>
      <w:r w:rsidRPr="00B35189">
        <w:rPr>
          <w:rFonts w:ascii="Times New Roman" w:eastAsia="Times New Roman" w:hAnsi="Times New Roman" w:cs="Times New Roman"/>
          <w:b/>
          <w:i/>
          <w:sz w:val="28"/>
        </w:rPr>
        <w:t>“exceção da exceção</w:t>
      </w:r>
      <w:r w:rsidRPr="00B35189">
        <w:rPr>
          <w:rFonts w:ascii="Times New Roman" w:eastAsia="Times New Roman" w:hAnsi="Times New Roman" w:cs="Times New Roman"/>
          <w:b/>
          <w:sz w:val="28"/>
        </w:rPr>
        <w:t>”</w:t>
      </w:r>
      <w:r>
        <w:rPr>
          <w:rFonts w:ascii="Times New Roman" w:eastAsia="Times New Roman" w:hAnsi="Times New Roman" w:cs="Times New Roman"/>
          <w:sz w:val="28"/>
        </w:rPr>
        <w:t xml:space="preserve">, </w:t>
      </w:r>
      <w:r w:rsidRPr="00D75598">
        <w:rPr>
          <w:rFonts w:ascii="Times New Roman" w:eastAsia="Times New Roman" w:hAnsi="Times New Roman" w:cs="Times New Roman"/>
          <w:i/>
          <w:sz w:val="28"/>
        </w:rPr>
        <w:t>justificando-se apenas em situações excepcionalíssimas”</w:t>
      </w:r>
      <w:r w:rsidR="00D75598">
        <w:rPr>
          <w:rFonts w:ascii="Times New Roman" w:eastAsia="Times New Roman" w:hAnsi="Times New Roman" w:cs="Times New Roman"/>
          <w:i/>
          <w:sz w:val="28"/>
        </w:rPr>
        <w:t xml:space="preserve">. </w:t>
      </w:r>
    </w:p>
    <w:p w:rsidR="00DC6F8B" w:rsidRDefault="00DC6F8B" w:rsidP="00CE44FA">
      <w:pPr>
        <w:spacing w:before="0" w:line="276" w:lineRule="auto"/>
        <w:ind w:left="142" w:firstLine="1559"/>
        <w:jc w:val="both"/>
        <w:rPr>
          <w:rFonts w:ascii="Times New Roman" w:eastAsia="Times New Roman" w:hAnsi="Times New Roman" w:cs="Times New Roman"/>
          <w:i/>
          <w:sz w:val="28"/>
        </w:rPr>
      </w:pPr>
    </w:p>
    <w:p w:rsidR="00CE44FA" w:rsidRPr="00B35189" w:rsidRDefault="00D75598" w:rsidP="00CE44FA">
      <w:pPr>
        <w:spacing w:before="0" w:line="276" w:lineRule="auto"/>
        <w:ind w:left="142" w:firstLine="1559"/>
        <w:jc w:val="both"/>
        <w:rPr>
          <w:rFonts w:ascii="Times New Roman" w:eastAsia="Times New Roman" w:hAnsi="Times New Roman" w:cs="Times New Roman"/>
          <w:sz w:val="28"/>
        </w:rPr>
      </w:pPr>
      <w:r w:rsidRPr="00D75598">
        <w:rPr>
          <w:rFonts w:ascii="Times New Roman" w:eastAsia="Times New Roman" w:hAnsi="Times New Roman" w:cs="Times New Roman"/>
          <w:sz w:val="28"/>
        </w:rPr>
        <w:t xml:space="preserve">De igual forma, </w:t>
      </w:r>
      <w:r w:rsidR="00CE44FA">
        <w:rPr>
          <w:rFonts w:ascii="Times New Roman" w:eastAsia="Times New Roman" w:hAnsi="Times New Roman" w:cs="Times New Roman"/>
          <w:sz w:val="28"/>
        </w:rPr>
        <w:t>a Controladoria Geral da União, no</w:t>
      </w:r>
      <w:r w:rsidR="00DC6F8B">
        <w:rPr>
          <w:rFonts w:ascii="Times New Roman" w:eastAsia="Times New Roman" w:hAnsi="Times New Roman" w:cs="Times New Roman"/>
          <w:sz w:val="28"/>
        </w:rPr>
        <w:t xml:space="preserve"> mencionado</w:t>
      </w:r>
      <w:r w:rsidR="00CE44FA">
        <w:rPr>
          <w:rFonts w:ascii="Times New Roman" w:eastAsia="Times New Roman" w:hAnsi="Times New Roman" w:cs="Times New Roman"/>
          <w:sz w:val="28"/>
        </w:rPr>
        <w:t xml:space="preserve"> relatório de auditoria </w:t>
      </w:r>
      <w:r w:rsidR="000D4026">
        <w:rPr>
          <w:rFonts w:ascii="Times New Roman" w:eastAsia="Times New Roman" w:hAnsi="Times New Roman" w:cs="Times New Roman"/>
          <w:sz w:val="28"/>
        </w:rPr>
        <w:t>do qual</w:t>
      </w:r>
      <w:r w:rsidR="00CE44FA">
        <w:rPr>
          <w:rFonts w:ascii="Times New Roman" w:eastAsia="Times New Roman" w:hAnsi="Times New Roman" w:cs="Times New Roman"/>
          <w:sz w:val="28"/>
        </w:rPr>
        <w:t xml:space="preserve"> a SIURB extraiu a fórmula adotada para técnica e preço, </w:t>
      </w:r>
      <w:r>
        <w:rPr>
          <w:rFonts w:ascii="Times New Roman" w:eastAsia="Times New Roman" w:hAnsi="Times New Roman" w:cs="Times New Roman"/>
          <w:sz w:val="28"/>
        </w:rPr>
        <w:t>recomendava</w:t>
      </w:r>
      <w:r w:rsidR="00CE44FA" w:rsidRPr="00A456D8">
        <w:rPr>
          <w:rFonts w:ascii="Times New Roman" w:eastAsia="Times New Roman" w:hAnsi="Times New Roman" w:cs="Times New Roman"/>
          <w:sz w:val="28"/>
        </w:rPr>
        <w:t xml:space="preserve"> </w:t>
      </w:r>
      <w:r w:rsidR="00CE44FA" w:rsidRPr="00B35189">
        <w:rPr>
          <w:rFonts w:ascii="Times New Roman" w:eastAsia="Times New Roman" w:hAnsi="Times New Roman" w:cs="Times New Roman"/>
          <w:sz w:val="28"/>
        </w:rPr>
        <w:t>à Valec que</w:t>
      </w:r>
      <w:r>
        <w:rPr>
          <w:rFonts w:ascii="Times New Roman" w:eastAsia="Times New Roman" w:hAnsi="Times New Roman" w:cs="Times New Roman"/>
          <w:sz w:val="28"/>
        </w:rPr>
        <w:t>:</w:t>
      </w:r>
      <w:r w:rsidR="00CE44FA" w:rsidRPr="00B35189">
        <w:rPr>
          <w:rFonts w:ascii="Times New Roman" w:eastAsia="Times New Roman" w:hAnsi="Times New Roman" w:cs="Times New Roman"/>
          <w:sz w:val="28"/>
        </w:rPr>
        <w:t xml:space="preserve"> </w:t>
      </w:r>
      <w:r w:rsidR="00CE44FA">
        <w:rPr>
          <w:rFonts w:ascii="Times New Roman" w:eastAsia="Times New Roman" w:hAnsi="Times New Roman" w:cs="Times New Roman"/>
          <w:sz w:val="28"/>
        </w:rPr>
        <w:t>“</w:t>
      </w:r>
      <w:r w:rsidR="00CE44FA" w:rsidRPr="00F5704E">
        <w:rPr>
          <w:rFonts w:ascii="Times New Roman" w:eastAsia="Times New Roman" w:hAnsi="Times New Roman" w:cs="Times New Roman"/>
          <w:i/>
          <w:sz w:val="28"/>
        </w:rPr>
        <w:t xml:space="preserve">apresentasse justificativas prévias e circunstanciadas no processo licitatório quando em licitações do tipo ‘técnica e preço’ os pesos fossem diferentes de 50%, visando </w:t>
      </w:r>
      <w:r w:rsidR="00CE44FA" w:rsidRPr="00F5704E">
        <w:rPr>
          <w:rFonts w:ascii="Times New Roman" w:eastAsia="Times New Roman" w:hAnsi="Times New Roman" w:cs="Times New Roman"/>
          <w:b/>
          <w:i/>
          <w:sz w:val="28"/>
        </w:rPr>
        <w:t>demonstrar que não representam nem privilégio nem direcionamento e que não proporcionarão aumento de preços indevidos em decorrência de pequenas vantagens técnica</w:t>
      </w:r>
      <w:r w:rsidR="00CE44FA">
        <w:rPr>
          <w:rFonts w:ascii="Times New Roman" w:eastAsia="Times New Roman" w:hAnsi="Times New Roman" w:cs="Times New Roman"/>
          <w:b/>
          <w:i/>
          <w:sz w:val="28"/>
        </w:rPr>
        <w:t>”</w:t>
      </w:r>
      <w:r w:rsidR="00CE44FA" w:rsidRPr="00B35189">
        <w:rPr>
          <w:rFonts w:ascii="Times New Roman" w:eastAsia="Times New Roman" w:hAnsi="Times New Roman" w:cs="Times New Roman"/>
          <w:sz w:val="28"/>
        </w:rPr>
        <w:t>.</w:t>
      </w:r>
    </w:p>
    <w:p w:rsidR="00CE44FA" w:rsidRDefault="00CE44FA" w:rsidP="00CE44FA">
      <w:pPr>
        <w:spacing w:before="0" w:line="276" w:lineRule="auto"/>
        <w:ind w:left="142" w:firstLine="1559"/>
        <w:jc w:val="both"/>
        <w:rPr>
          <w:rFonts w:ascii="Times New Roman" w:eastAsia="Times New Roman" w:hAnsi="Times New Roman" w:cs="Times New Roman"/>
          <w:sz w:val="28"/>
        </w:rPr>
      </w:pPr>
    </w:p>
    <w:p w:rsidR="00CE44FA" w:rsidRDefault="00DC6F8B" w:rsidP="00CE44FA">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Temos, portanto, como indiscutível a possibilidade jurídica de </w:t>
      </w:r>
      <w:r w:rsidR="003124AD">
        <w:rPr>
          <w:rFonts w:ascii="Times New Roman" w:eastAsia="Times New Roman" w:hAnsi="Times New Roman" w:cs="Times New Roman"/>
          <w:sz w:val="28"/>
        </w:rPr>
        <w:t>aceitabilidade do</w:t>
      </w:r>
      <w:r w:rsidR="00CE44F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referido </w:t>
      </w:r>
      <w:r w:rsidR="00CE44FA">
        <w:rPr>
          <w:rFonts w:ascii="Times New Roman" w:eastAsia="Times New Roman" w:hAnsi="Times New Roman" w:cs="Times New Roman"/>
          <w:sz w:val="28"/>
        </w:rPr>
        <w:t xml:space="preserve">percentual </w:t>
      </w:r>
      <w:r w:rsidR="000D4026">
        <w:rPr>
          <w:rFonts w:ascii="Times New Roman" w:eastAsia="Times New Roman" w:hAnsi="Times New Roman" w:cs="Times New Roman"/>
          <w:sz w:val="28"/>
        </w:rPr>
        <w:t xml:space="preserve">70/30 </w:t>
      </w:r>
      <w:r w:rsidR="00CE44FA">
        <w:rPr>
          <w:rFonts w:ascii="Times New Roman" w:eastAsia="Times New Roman" w:hAnsi="Times New Roman" w:cs="Times New Roman"/>
          <w:sz w:val="28"/>
        </w:rPr>
        <w:t>para a ponderação</w:t>
      </w:r>
      <w:r>
        <w:rPr>
          <w:rFonts w:ascii="Times New Roman" w:eastAsia="Times New Roman" w:hAnsi="Times New Roman" w:cs="Times New Roman"/>
          <w:sz w:val="28"/>
        </w:rPr>
        <w:t xml:space="preserve"> do julgamento.</w:t>
      </w:r>
      <w:r w:rsidR="00CE44FA">
        <w:rPr>
          <w:rFonts w:ascii="Times New Roman" w:eastAsia="Times New Roman" w:hAnsi="Times New Roman" w:cs="Times New Roman"/>
          <w:sz w:val="28"/>
        </w:rPr>
        <w:t xml:space="preserve"> </w:t>
      </w:r>
      <w:r>
        <w:rPr>
          <w:rFonts w:ascii="Times New Roman" w:eastAsia="Times New Roman" w:hAnsi="Times New Roman" w:cs="Times New Roman"/>
          <w:sz w:val="28"/>
        </w:rPr>
        <w:t>Conforme</w:t>
      </w:r>
      <w:r w:rsidR="00CE44FA">
        <w:rPr>
          <w:rFonts w:ascii="Times New Roman" w:eastAsia="Times New Roman" w:hAnsi="Times New Roman" w:cs="Times New Roman"/>
          <w:sz w:val="28"/>
        </w:rPr>
        <w:t xml:space="preserve"> </w:t>
      </w:r>
      <w:hyperlink r:id="rId9" w:anchor="/documento/acordao-completo/*/NUMACORDAO%3A532%20ANOACORDAO%3A2016%20COLEGIADO%3A%22Plen%C3%A1rio%22/DTRELEVANCIA%20desc%2C%20NUMACORDAOINT%20desc/0/%20" w:tgtFrame="_blank" w:history="1">
        <w:r w:rsidR="00CE44FA" w:rsidRPr="00050605">
          <w:rPr>
            <w:rFonts w:ascii="Times New Roman" w:eastAsia="Times New Roman" w:hAnsi="Times New Roman" w:cs="Times New Roman"/>
            <w:sz w:val="28"/>
          </w:rPr>
          <w:t>Acórdão 532/2016-Plenário</w:t>
        </w:r>
      </w:hyperlink>
      <w:r w:rsidR="00CE44FA" w:rsidRPr="00050605">
        <w:rPr>
          <w:rFonts w:ascii="Times New Roman" w:eastAsia="Times New Roman" w:hAnsi="Times New Roman" w:cs="Times New Roman"/>
          <w:sz w:val="28"/>
        </w:rPr>
        <w:t xml:space="preserve"> do Tribunal de Contas da União – TCU, </w:t>
      </w:r>
      <w:r w:rsidR="00CE44FA">
        <w:rPr>
          <w:rFonts w:ascii="Times New Roman" w:eastAsia="Times New Roman" w:hAnsi="Times New Roman" w:cs="Times New Roman"/>
          <w:sz w:val="28"/>
        </w:rPr>
        <w:t>n</w:t>
      </w:r>
      <w:r w:rsidR="00CE44FA" w:rsidRPr="00050605">
        <w:rPr>
          <w:rFonts w:ascii="Times New Roman" w:eastAsia="Times New Roman" w:hAnsi="Times New Roman" w:cs="Times New Roman"/>
          <w:sz w:val="28"/>
        </w:rPr>
        <w:t>as licitações do tipo técnica e preço, ainda que não submetidas ao RDC, é possível adotar como referência o disposto no art. 20, § 2º, da Lei 12.462/2011, que permite a atribuição de fatores de ponderação distintos para valorar as respectivas propostas, com percentual de ponderação mais relevante limitado a 70%, devendo-se demonstrar no processo licitatório, se for o caso, a pertinência da primazia da técnica em relação ao preço, considerando-se a natureza dos serviços a serem executados</w:t>
      </w:r>
      <w:r w:rsidR="00CE44FA">
        <w:rPr>
          <w:rFonts w:ascii="Times New Roman" w:eastAsia="Times New Roman" w:hAnsi="Times New Roman" w:cs="Times New Roman"/>
          <w:sz w:val="28"/>
        </w:rPr>
        <w:t>.</w:t>
      </w:r>
    </w:p>
    <w:p w:rsidR="00CE44FA" w:rsidRDefault="00CE44FA" w:rsidP="00CE44FA">
      <w:pPr>
        <w:spacing w:before="0" w:line="276" w:lineRule="auto"/>
        <w:ind w:left="142" w:firstLine="1559"/>
        <w:jc w:val="both"/>
        <w:rPr>
          <w:rFonts w:ascii="Times New Roman" w:eastAsia="Times New Roman" w:hAnsi="Times New Roman" w:cs="Times New Roman"/>
          <w:sz w:val="28"/>
        </w:rPr>
      </w:pPr>
    </w:p>
    <w:p w:rsidR="00CE44FA" w:rsidRDefault="00CE44FA" w:rsidP="00CE44FA">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Tal aceitabilid</w:t>
      </w:r>
      <w:r w:rsidRPr="00B35189">
        <w:rPr>
          <w:rFonts w:ascii="Times New Roman" w:eastAsia="Times New Roman" w:hAnsi="Times New Roman" w:cs="Times New Roman"/>
          <w:sz w:val="28"/>
        </w:rPr>
        <w:t xml:space="preserve">ade </w:t>
      </w:r>
      <w:r w:rsidR="000D4026">
        <w:rPr>
          <w:rFonts w:ascii="Times New Roman" w:eastAsia="Times New Roman" w:hAnsi="Times New Roman" w:cs="Times New Roman"/>
          <w:sz w:val="28"/>
        </w:rPr>
        <w:t>mostra-se</w:t>
      </w:r>
      <w:r>
        <w:rPr>
          <w:rFonts w:ascii="Times New Roman" w:eastAsia="Times New Roman" w:hAnsi="Times New Roman" w:cs="Times New Roman"/>
          <w:sz w:val="28"/>
        </w:rPr>
        <w:t xml:space="preserve"> amplamente difundida, ao ponto de, como bem trazido aos autos pela origem, a </w:t>
      </w:r>
      <w:r w:rsidRPr="0040604F">
        <w:rPr>
          <w:rFonts w:ascii="Times New Roman" w:eastAsia="Times New Roman" w:hAnsi="Times New Roman" w:cs="Times New Roman"/>
          <w:sz w:val="28"/>
        </w:rPr>
        <w:t>L</w:t>
      </w:r>
      <w:r>
        <w:rPr>
          <w:rFonts w:ascii="Times New Roman" w:eastAsia="Times New Roman" w:hAnsi="Times New Roman" w:cs="Times New Roman"/>
          <w:sz w:val="28"/>
        </w:rPr>
        <w:t>ei Federal</w:t>
      </w:r>
      <w:r w:rsidRPr="0040604F">
        <w:rPr>
          <w:rFonts w:ascii="Times New Roman" w:eastAsia="Times New Roman" w:hAnsi="Times New Roman" w:cs="Times New Roman"/>
          <w:sz w:val="28"/>
        </w:rPr>
        <w:t xml:space="preserve"> nº 13.303/2016</w:t>
      </w:r>
      <w:r>
        <w:rPr>
          <w:rFonts w:ascii="Times New Roman" w:eastAsia="Times New Roman" w:hAnsi="Times New Roman" w:cs="Times New Roman"/>
          <w:sz w:val="28"/>
        </w:rPr>
        <w:t xml:space="preserve">, Lei das Estatais, em seu art. 54º </w:t>
      </w:r>
      <w:r w:rsidRPr="00B35189">
        <w:rPr>
          <w:rFonts w:ascii="Times New Roman" w:eastAsia="Times New Roman" w:hAnsi="Times New Roman" w:cs="Times New Roman"/>
          <w:sz w:val="28"/>
        </w:rPr>
        <w:t xml:space="preserve">prevê o uso da técnica e preço, limitando </w:t>
      </w:r>
      <w:r>
        <w:rPr>
          <w:rFonts w:ascii="Times New Roman" w:eastAsia="Times New Roman" w:hAnsi="Times New Roman" w:cs="Times New Roman"/>
          <w:sz w:val="28"/>
        </w:rPr>
        <w:t>a adoção d</w:t>
      </w:r>
      <w:r w:rsidRPr="00B35189">
        <w:rPr>
          <w:rFonts w:ascii="Times New Roman" w:eastAsia="Times New Roman" w:hAnsi="Times New Roman" w:cs="Times New Roman"/>
          <w:sz w:val="28"/>
        </w:rPr>
        <w:t>o percentual de ponderação mais relevante a 70% (setenta por cento).</w:t>
      </w:r>
      <w:r>
        <w:rPr>
          <w:rFonts w:ascii="Times New Roman" w:eastAsia="Times New Roman" w:hAnsi="Times New Roman" w:cs="Times New Roman"/>
          <w:sz w:val="28"/>
        </w:rPr>
        <w:t xml:space="preserve"> Adicionalmente, o </w:t>
      </w:r>
      <w:r w:rsidRPr="0040604F">
        <w:rPr>
          <w:rFonts w:ascii="Times New Roman" w:eastAsia="Times New Roman" w:hAnsi="Times New Roman" w:cs="Times New Roman"/>
          <w:sz w:val="28"/>
        </w:rPr>
        <w:t>P</w:t>
      </w:r>
      <w:r>
        <w:rPr>
          <w:rFonts w:ascii="Times New Roman" w:eastAsia="Times New Roman" w:hAnsi="Times New Roman" w:cs="Times New Roman"/>
          <w:sz w:val="28"/>
        </w:rPr>
        <w:t>rojeto de Lei</w:t>
      </w:r>
      <w:r w:rsidRPr="0040604F">
        <w:rPr>
          <w:rFonts w:ascii="Times New Roman" w:eastAsia="Times New Roman" w:hAnsi="Times New Roman" w:cs="Times New Roman"/>
          <w:sz w:val="28"/>
        </w:rPr>
        <w:t xml:space="preserve"> nº 1.292</w:t>
      </w:r>
      <w:r>
        <w:rPr>
          <w:rFonts w:ascii="Times New Roman" w:eastAsia="Times New Roman" w:hAnsi="Times New Roman" w:cs="Times New Roman"/>
          <w:sz w:val="28"/>
        </w:rPr>
        <w:t xml:space="preserve">, </w:t>
      </w:r>
      <w:r w:rsidR="000D4026">
        <w:rPr>
          <w:rFonts w:ascii="Times New Roman" w:eastAsia="Times New Roman" w:hAnsi="Times New Roman" w:cs="Times New Roman"/>
          <w:sz w:val="28"/>
        </w:rPr>
        <w:t>d</w:t>
      </w:r>
      <w:r>
        <w:rPr>
          <w:rFonts w:ascii="Times New Roman" w:eastAsia="Times New Roman" w:hAnsi="Times New Roman" w:cs="Times New Roman"/>
          <w:sz w:val="28"/>
        </w:rPr>
        <w:t xml:space="preserve">a Nova Lei das Licitações, em discussão desde 1995, traz como uma das suas diretrizes que </w:t>
      </w:r>
      <w:r w:rsidRPr="004E4484">
        <w:rPr>
          <w:rFonts w:ascii="Times New Roman" w:eastAsia="Times New Roman" w:hAnsi="Times New Roman" w:cs="Times New Roman"/>
          <w:i/>
          <w:sz w:val="28"/>
        </w:rPr>
        <w:t>“no julgamento por técnica e preço, deverão ser avaliadas e ponderadas as propostas técnicas e, em seguida, as propostas de preço apresentadas pelos licitantes, na proporção máxima de 70% (setenta por cento) de valoração para a proposta técnica</w:t>
      </w:r>
      <w:r>
        <w:rPr>
          <w:rFonts w:ascii="Times New Roman" w:eastAsia="Times New Roman" w:hAnsi="Times New Roman" w:cs="Times New Roman"/>
          <w:sz w:val="28"/>
        </w:rPr>
        <w:t>”.</w:t>
      </w:r>
    </w:p>
    <w:p w:rsidR="00CE44FA" w:rsidRDefault="00CE44FA" w:rsidP="00CE44FA">
      <w:pPr>
        <w:spacing w:before="0" w:line="276" w:lineRule="auto"/>
        <w:ind w:left="142" w:firstLine="1559"/>
        <w:jc w:val="both"/>
        <w:rPr>
          <w:rFonts w:ascii="Times New Roman" w:eastAsia="Times New Roman" w:hAnsi="Times New Roman" w:cs="Times New Roman"/>
          <w:sz w:val="28"/>
        </w:rPr>
      </w:pPr>
    </w:p>
    <w:p w:rsidR="00525174" w:rsidRDefault="00525174" w:rsidP="00CE44FA">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Nesse sentido, aliás, já se manifestaram em outros precedentes a Auditoria e a AJCE desta Corte, citando, a titulo ilustrativo, os TCs 21.024/2019, 2024/2017 e 6647/2019. </w:t>
      </w:r>
    </w:p>
    <w:p w:rsidR="00525174" w:rsidRDefault="00525174" w:rsidP="0091595D">
      <w:pPr>
        <w:spacing w:before="0" w:line="276" w:lineRule="auto"/>
        <w:ind w:left="142" w:firstLine="1559"/>
        <w:jc w:val="both"/>
        <w:rPr>
          <w:rFonts w:ascii="Times New Roman" w:eastAsia="Times New Roman" w:hAnsi="Times New Roman" w:cs="Times New Roman"/>
          <w:sz w:val="28"/>
        </w:rPr>
      </w:pPr>
    </w:p>
    <w:p w:rsidR="00CE44FA" w:rsidRDefault="00CE44FA" w:rsidP="0091595D">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Isto posto, cabe então analisar se os argumentos trazidos pela Origem são suficientes para demonstrar a excepcionalidade para a adoção da ponderação 70% técnica e 30% preço</w:t>
      </w:r>
      <w:r w:rsidR="00D75598">
        <w:rPr>
          <w:rFonts w:ascii="Times New Roman" w:eastAsia="Times New Roman" w:hAnsi="Times New Roman" w:cs="Times New Roman"/>
          <w:sz w:val="28"/>
        </w:rPr>
        <w:t>, vazados nos seguintes termos (peça 83 do TC 11.493/2019)</w:t>
      </w:r>
      <w:r w:rsidR="0091595D">
        <w:rPr>
          <w:rFonts w:ascii="Times New Roman" w:eastAsia="Times New Roman" w:hAnsi="Times New Roman" w:cs="Times New Roman"/>
          <w:sz w:val="28"/>
        </w:rPr>
        <w:t>:</w:t>
      </w:r>
    </w:p>
    <w:p w:rsidR="0091595D" w:rsidRDefault="0091595D" w:rsidP="0091595D">
      <w:pPr>
        <w:spacing w:before="0" w:line="276" w:lineRule="auto"/>
        <w:ind w:left="142" w:firstLine="1559"/>
        <w:jc w:val="both"/>
        <w:rPr>
          <w:rFonts w:ascii="Times New Roman" w:eastAsia="Times New Roman" w:hAnsi="Times New Roman" w:cs="Times New Roman"/>
          <w:sz w:val="28"/>
        </w:rPr>
      </w:pPr>
    </w:p>
    <w:p w:rsidR="00CE44FA" w:rsidRDefault="00CE44FA" w:rsidP="00D75598">
      <w:pPr>
        <w:spacing w:before="0" w:line="240" w:lineRule="auto"/>
        <w:ind w:left="2268"/>
        <w:jc w:val="both"/>
        <w:rPr>
          <w:rFonts w:ascii="Times New Roman" w:eastAsia="Times New Roman" w:hAnsi="Times New Roman" w:cs="Times New Roman"/>
          <w:i/>
        </w:rPr>
      </w:pPr>
      <w:r>
        <w:rPr>
          <w:rFonts w:ascii="Times New Roman" w:eastAsia="Times New Roman" w:hAnsi="Times New Roman" w:cs="Times New Roman"/>
          <w:i/>
        </w:rPr>
        <w:t>“</w:t>
      </w:r>
      <w:r w:rsidRPr="00E909F9">
        <w:rPr>
          <w:rFonts w:ascii="Times New Roman" w:eastAsia="Times New Roman" w:hAnsi="Times New Roman" w:cs="Times New Roman"/>
          <w:i/>
        </w:rPr>
        <w:t>Tal entendimento</w:t>
      </w:r>
      <w:r w:rsidR="00EA231C">
        <w:rPr>
          <w:rFonts w:ascii="Times New Roman" w:eastAsia="Times New Roman" w:hAnsi="Times New Roman" w:cs="Times New Roman"/>
          <w:i/>
        </w:rPr>
        <w:t xml:space="preserve"> da Auditoria (sic)</w:t>
      </w:r>
      <w:r w:rsidRPr="00E909F9">
        <w:rPr>
          <w:rFonts w:ascii="Times New Roman" w:eastAsia="Times New Roman" w:hAnsi="Times New Roman" w:cs="Times New Roman"/>
          <w:i/>
        </w:rPr>
        <w:t>, a nosso ver, não pode ser aplicado ao caso em tela, pois se trata de contratação de serviços de natureza predominantemente intelectual, fato este já implícito nas Leis mais recentes como a 12.462/20 1 1 e 13.303/2016, além da 8.666/93 e</w:t>
      </w:r>
      <w:r>
        <w:rPr>
          <w:rFonts w:ascii="Times New Roman" w:eastAsia="Times New Roman" w:hAnsi="Times New Roman" w:cs="Times New Roman"/>
          <w:i/>
        </w:rPr>
        <w:t xml:space="preserve"> </w:t>
      </w:r>
      <w:r w:rsidRPr="00E909F9">
        <w:rPr>
          <w:rFonts w:ascii="Times New Roman" w:eastAsia="Times New Roman" w:hAnsi="Times New Roman" w:cs="Times New Roman"/>
          <w:i/>
        </w:rPr>
        <w:t>no PL 12.292...</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t>...No caso presente trata-se de três Editais para: "ELABORAÇÃO DE INSPEÇÕES ESPECIAIS</w:t>
      </w:r>
      <w:r w:rsidR="00EA231C">
        <w:rPr>
          <w:rFonts w:ascii="Times New Roman" w:eastAsia="Times New Roman" w:hAnsi="Times New Roman" w:cs="Times New Roman"/>
          <w:i/>
        </w:rPr>
        <w:t>, VISTORIAS, ENSAIOS,</w:t>
      </w:r>
      <w:r w:rsidR="003124AD">
        <w:rPr>
          <w:rFonts w:ascii="Times New Roman" w:eastAsia="Times New Roman" w:hAnsi="Times New Roman" w:cs="Times New Roman"/>
          <w:i/>
        </w:rPr>
        <w:t xml:space="preserve"> LAUDOS TÉCNICOS, VERIFICA</w:t>
      </w:r>
      <w:r w:rsidRPr="00E909F9">
        <w:rPr>
          <w:rFonts w:ascii="Times New Roman" w:eastAsia="Times New Roman" w:hAnsi="Times New Roman" w:cs="Times New Roman"/>
          <w:i/>
        </w:rPr>
        <w:t>ÇÕES ESTRUTUR</w:t>
      </w:r>
      <w:r w:rsidR="003124AD">
        <w:rPr>
          <w:rFonts w:ascii="Times New Roman" w:eastAsia="Times New Roman" w:hAnsi="Times New Roman" w:cs="Times New Roman"/>
          <w:i/>
        </w:rPr>
        <w:t>AIS, PROJETO EXECUTIVO DE REQUALIFIC</w:t>
      </w:r>
      <w:r w:rsidRPr="00E909F9">
        <w:rPr>
          <w:rFonts w:ascii="Times New Roman" w:eastAsia="Times New Roman" w:hAnsi="Times New Roman" w:cs="Times New Roman"/>
          <w:i/>
        </w:rPr>
        <w:t>AÇÃO E CONCEPÇÃO</w:t>
      </w:r>
      <w:r w:rsidR="003124AD">
        <w:rPr>
          <w:rFonts w:ascii="Times New Roman" w:eastAsia="Times New Roman" w:hAnsi="Times New Roman" w:cs="Times New Roman"/>
          <w:i/>
        </w:rPr>
        <w:t xml:space="preserve"> DE RECUPERAÇÃO ESTRUTURAL DE XX</w:t>
      </w:r>
      <w:r w:rsidRPr="00E909F9">
        <w:rPr>
          <w:rFonts w:ascii="Times New Roman" w:eastAsia="Times New Roman" w:hAnsi="Times New Roman" w:cs="Times New Roman"/>
          <w:i/>
        </w:rPr>
        <w:t>X OBRAS DE ARTE ESPECIAIS NO MUNICÍPIO DE SÃO PAULO"</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t>Como se pode verificar existem serviços no escopo acima indicado altamente especializados como:</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t xml:space="preserve">. Inspeções e vistorias das Obras de Arte Especiais (OAEs). </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t xml:space="preserve">Esses serviços </w:t>
      </w:r>
      <w:r w:rsidRPr="002911EE">
        <w:rPr>
          <w:rFonts w:ascii="Times New Roman" w:eastAsia="Times New Roman" w:hAnsi="Times New Roman" w:cs="Times New Roman"/>
          <w:b/>
          <w:i/>
        </w:rPr>
        <w:t>devem ser realizados por técnicos treinados e capacitados com sensibilidade para entender o funcionamento da estrutura e relacionar os defeitos encontrados em campo com o desempenho estrutural da peça em que determinado problema é encontrado</w:t>
      </w:r>
      <w:r w:rsidRPr="00E909F9">
        <w:rPr>
          <w:rFonts w:ascii="Times New Roman" w:eastAsia="Times New Roman" w:hAnsi="Times New Roman" w:cs="Times New Roman"/>
          <w:i/>
        </w:rPr>
        <w:t xml:space="preserve">; </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t xml:space="preserve">• Laudos técnicos e Verificações Estruturais. </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t xml:space="preserve">Esses serviços devem ser realizados por </w:t>
      </w:r>
      <w:r w:rsidRPr="002911EE">
        <w:rPr>
          <w:rFonts w:ascii="Times New Roman" w:eastAsia="Times New Roman" w:hAnsi="Times New Roman" w:cs="Times New Roman"/>
          <w:b/>
          <w:i/>
        </w:rPr>
        <w:t>engenheiros civis especializados em engenharia estrutural preferencialmente em pontes e viadutos (engenheiros estruturais de prédios e edificações, por exemplo, não tem a mesma expertise)</w:t>
      </w:r>
      <w:r w:rsidRPr="00E909F9">
        <w:rPr>
          <w:rFonts w:ascii="Times New Roman" w:eastAsia="Times New Roman" w:hAnsi="Times New Roman" w:cs="Times New Roman"/>
          <w:i/>
        </w:rPr>
        <w:t xml:space="preserve">. </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lastRenderedPageBreak/>
        <w:t xml:space="preserve">• Projeto Executivo de Requalificação e Concepção de Recuperação Estrutural. </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t xml:space="preserve">Esses serviços são realizados por </w:t>
      </w:r>
      <w:r w:rsidRPr="002911EE">
        <w:rPr>
          <w:rFonts w:ascii="Times New Roman" w:eastAsia="Times New Roman" w:hAnsi="Times New Roman" w:cs="Times New Roman"/>
          <w:b/>
          <w:i/>
        </w:rPr>
        <w:t>engenheiros civis especializados em engenharia estrutural preferencialmente com conhecimento em projetos de reforço e recuperação de estruturas (engenheiros estruturais que somente tenham projetado obras novas não tem a expertise necessária para esse trabalho)</w:t>
      </w:r>
      <w:r w:rsidRPr="00E909F9">
        <w:rPr>
          <w:rFonts w:ascii="Times New Roman" w:eastAsia="Times New Roman" w:hAnsi="Times New Roman" w:cs="Times New Roman"/>
          <w:i/>
        </w:rPr>
        <w:t>.</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t xml:space="preserve">Dessa forma entendemos que esses serviços, além da alta especialização exigem habilitação legal para sua elaboração ou execução, com a emissão da Anotação de Responsabilidade Técnica - ART, pois são serviços técnicos especializados. </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t xml:space="preserve">Corroborando esses fatos </w:t>
      </w:r>
      <w:r w:rsidRPr="00087EF8">
        <w:rPr>
          <w:rFonts w:ascii="Times New Roman" w:eastAsia="Times New Roman" w:hAnsi="Times New Roman" w:cs="Times New Roman"/>
          <w:i/>
          <w:u w:val="single"/>
        </w:rPr>
        <w:t>devemos também lembrar que os serviços de recuperação e reforço estrutural de Obras de Arte Especiais nunca foram sistematizados na administração pública</w:t>
      </w:r>
      <w:r w:rsidRPr="00E909F9">
        <w:rPr>
          <w:rFonts w:ascii="Times New Roman" w:eastAsia="Times New Roman" w:hAnsi="Times New Roman" w:cs="Times New Roman"/>
          <w:i/>
        </w:rPr>
        <w:t xml:space="preserve">. </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t xml:space="preserve">Temos </w:t>
      </w:r>
      <w:r w:rsidRPr="00087EF8">
        <w:rPr>
          <w:rFonts w:ascii="Times New Roman" w:eastAsia="Times New Roman" w:hAnsi="Times New Roman" w:cs="Times New Roman"/>
          <w:i/>
          <w:u w:val="single"/>
        </w:rPr>
        <w:t>notícia de alguns programas isolados, como a recuperação dos viadutos da Via Anchieta no início dos anos 80 pela DERSA, de algumas estruturas de caixas d'água pela SABESP, e de algumas estruturas do Metrô/SP</w:t>
      </w:r>
      <w:r w:rsidRPr="00E909F9">
        <w:rPr>
          <w:rFonts w:ascii="Times New Roman" w:eastAsia="Times New Roman" w:hAnsi="Times New Roman" w:cs="Times New Roman"/>
          <w:i/>
        </w:rPr>
        <w:t xml:space="preserve">. </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t xml:space="preserve">O DER/SP iniciou um programa de cadastramento das obras de arte na malha rodoviária paulista elaborando um sistema denominado SIGOA, que hoje está desativado. Posteriormente já no final dos anos 90, as Concessões de Rodovias Paulistas incluiu nos contratos, como obrigação das Concessionárias, a implantação de um sistema de gerenciamento de Obras de Arte. </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t>Tal fato resultou na implantação de sistemas pelas Concessionárias de forma a cumprir com a obrigação contratual, assim, na iniciativa privada iniciou-se um processo de aculturamento que já vem funcionando há pelo menos 10 anos e que já pode ser considerado maduro.</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087EF8">
        <w:rPr>
          <w:rFonts w:ascii="Times New Roman" w:eastAsia="Times New Roman" w:hAnsi="Times New Roman" w:cs="Times New Roman"/>
          <w:i/>
          <w:u w:val="single"/>
        </w:rPr>
        <w:t>No entanto, na área pública não temos nenhum programa de manutenção, gerenciamento, restauração e reforço de obras de Arte Especiais, trazendo ainda para responsabilidade da PMSP a questão do ineditismo tendo como laboratório uma das maiores metrópoles do planeta com um sistema viário complexo e que conta com uma infinidade de pontes e viadutos. Não existe margem para erro</w:t>
      </w:r>
      <w:r w:rsidRPr="00E909F9">
        <w:rPr>
          <w:rFonts w:ascii="Times New Roman" w:eastAsia="Times New Roman" w:hAnsi="Times New Roman" w:cs="Times New Roman"/>
          <w:i/>
        </w:rPr>
        <w:t xml:space="preserve">. </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D75598">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t xml:space="preserve">Dessa forma, </w:t>
      </w:r>
      <w:r w:rsidRPr="00087EF8">
        <w:rPr>
          <w:rFonts w:ascii="Times New Roman" w:eastAsia="Times New Roman" w:hAnsi="Times New Roman" w:cs="Times New Roman"/>
          <w:i/>
          <w:u w:val="single"/>
        </w:rPr>
        <w:t xml:space="preserve">numa análise de risco efetuar a licitação sem levar em conta a qualificação dos profissionais, da empresa, além de não se </w:t>
      </w:r>
      <w:r w:rsidRPr="00087EF8">
        <w:rPr>
          <w:rFonts w:ascii="Times New Roman" w:eastAsia="Times New Roman" w:hAnsi="Times New Roman" w:cs="Times New Roman"/>
          <w:i/>
          <w:u w:val="single"/>
        </w:rPr>
        <w:lastRenderedPageBreak/>
        <w:t>ter uma vaga ideia de como a licitante encara o problema, e a metodologia de execução torna esse risco muito elevado para a administração</w:t>
      </w:r>
      <w:r w:rsidRPr="00E909F9">
        <w:rPr>
          <w:rFonts w:ascii="Times New Roman" w:eastAsia="Times New Roman" w:hAnsi="Times New Roman" w:cs="Times New Roman"/>
          <w:i/>
        </w:rPr>
        <w:t xml:space="preserve">. </w:t>
      </w:r>
    </w:p>
    <w:p w:rsidR="00CE44FA" w:rsidRPr="00E909F9" w:rsidRDefault="00CE44FA" w:rsidP="00D75598">
      <w:pPr>
        <w:spacing w:before="0" w:line="240" w:lineRule="auto"/>
        <w:ind w:left="2268"/>
        <w:jc w:val="both"/>
        <w:rPr>
          <w:rFonts w:ascii="Times New Roman" w:eastAsia="Times New Roman" w:hAnsi="Times New Roman" w:cs="Times New Roman"/>
          <w:i/>
        </w:rPr>
      </w:pPr>
    </w:p>
    <w:p w:rsidR="00CE44FA" w:rsidRDefault="00CE44FA" w:rsidP="00600093">
      <w:pPr>
        <w:spacing w:before="0" w:line="240" w:lineRule="auto"/>
        <w:ind w:left="2268"/>
        <w:jc w:val="both"/>
        <w:rPr>
          <w:rFonts w:ascii="Times New Roman" w:eastAsia="Times New Roman" w:hAnsi="Times New Roman" w:cs="Times New Roman"/>
          <w:i/>
        </w:rPr>
      </w:pPr>
      <w:r w:rsidRPr="00E909F9">
        <w:rPr>
          <w:rFonts w:ascii="Times New Roman" w:eastAsia="Times New Roman" w:hAnsi="Times New Roman" w:cs="Times New Roman"/>
          <w:i/>
        </w:rPr>
        <w:t xml:space="preserve">Ressaltamos que </w:t>
      </w:r>
      <w:r w:rsidRPr="00087EF8">
        <w:rPr>
          <w:rFonts w:ascii="Times New Roman" w:eastAsia="Times New Roman" w:hAnsi="Times New Roman" w:cs="Times New Roman"/>
          <w:i/>
          <w:u w:val="single"/>
        </w:rPr>
        <w:t>esse assunto é muito delicado, pois além de ter potencial para prejudicar a mobilidade no município, também pode colocar em risco bens materiais e em última análise vidas, como já pudemos verificar em passado próximo</w:t>
      </w:r>
      <w:r w:rsidRPr="00E909F9">
        <w:rPr>
          <w:rFonts w:ascii="Times New Roman" w:eastAsia="Times New Roman" w:hAnsi="Times New Roman" w:cs="Times New Roman"/>
          <w:i/>
        </w:rPr>
        <w:t xml:space="preserve">. </w:t>
      </w:r>
    </w:p>
    <w:p w:rsidR="00D75598" w:rsidRDefault="00D75598" w:rsidP="00CE44FA">
      <w:pPr>
        <w:spacing w:before="0" w:line="276" w:lineRule="auto"/>
        <w:ind w:left="142" w:firstLine="1559"/>
        <w:jc w:val="both"/>
        <w:rPr>
          <w:rFonts w:ascii="Times New Roman" w:eastAsia="Times New Roman" w:hAnsi="Times New Roman" w:cs="Times New Roman"/>
          <w:sz w:val="28"/>
        </w:rPr>
      </w:pPr>
    </w:p>
    <w:p w:rsidR="001825CA" w:rsidRPr="0033727D" w:rsidRDefault="00D75598" w:rsidP="001825CA">
      <w:pPr>
        <w:spacing w:before="0" w:line="276" w:lineRule="auto"/>
        <w:ind w:left="142" w:firstLine="1559"/>
        <w:jc w:val="both"/>
        <w:rPr>
          <w:rFonts w:ascii="Times New Roman" w:eastAsia="Times New Roman" w:hAnsi="Times New Roman" w:cs="Times New Roman"/>
          <w:sz w:val="28"/>
        </w:rPr>
      </w:pPr>
      <w:r w:rsidRPr="0033727D">
        <w:rPr>
          <w:rFonts w:ascii="Times New Roman" w:eastAsia="Times New Roman" w:hAnsi="Times New Roman" w:cs="Times New Roman"/>
          <w:sz w:val="28"/>
        </w:rPr>
        <w:t xml:space="preserve">Constata-se das justificativas </w:t>
      </w:r>
      <w:r w:rsidR="00E63DD2" w:rsidRPr="0033727D">
        <w:rPr>
          <w:rFonts w:ascii="Times New Roman" w:eastAsia="Times New Roman" w:hAnsi="Times New Roman" w:cs="Times New Roman"/>
          <w:sz w:val="28"/>
        </w:rPr>
        <w:t>acima transcritas que</w:t>
      </w:r>
      <w:r w:rsidR="00AC41B6" w:rsidRPr="0033727D">
        <w:rPr>
          <w:rFonts w:ascii="Times New Roman" w:eastAsia="Times New Roman" w:hAnsi="Times New Roman" w:cs="Times New Roman"/>
          <w:sz w:val="28"/>
        </w:rPr>
        <w:t>:</w:t>
      </w:r>
      <w:r w:rsidR="00E63DD2" w:rsidRPr="0033727D">
        <w:rPr>
          <w:rFonts w:ascii="Times New Roman" w:eastAsia="Times New Roman" w:hAnsi="Times New Roman" w:cs="Times New Roman"/>
          <w:sz w:val="28"/>
        </w:rPr>
        <w:t xml:space="preserve"> </w:t>
      </w:r>
      <w:r w:rsidR="00CE44FA" w:rsidRPr="0033727D">
        <w:rPr>
          <w:rFonts w:ascii="Times New Roman" w:eastAsia="Times New Roman" w:hAnsi="Times New Roman" w:cs="Times New Roman"/>
          <w:sz w:val="28"/>
        </w:rPr>
        <w:t xml:space="preserve">o objeto das licitações </w:t>
      </w:r>
      <w:r w:rsidR="00AC41B6" w:rsidRPr="0033727D">
        <w:rPr>
          <w:rFonts w:ascii="Times New Roman" w:eastAsia="Times New Roman" w:hAnsi="Times New Roman" w:cs="Times New Roman"/>
          <w:sz w:val="28"/>
        </w:rPr>
        <w:t>em exame é essencialmente técnico;</w:t>
      </w:r>
      <w:r w:rsidR="00CE44FA" w:rsidRPr="0033727D">
        <w:rPr>
          <w:rFonts w:ascii="Times New Roman" w:eastAsia="Times New Roman" w:hAnsi="Times New Roman" w:cs="Times New Roman"/>
          <w:sz w:val="28"/>
        </w:rPr>
        <w:t xml:space="preserve"> os serviços de recuperação e reforço estrutural de Obras de Arte Especiais nunca foram sistemat</w:t>
      </w:r>
      <w:r w:rsidR="00AC41B6" w:rsidRPr="0033727D">
        <w:rPr>
          <w:rFonts w:ascii="Times New Roman" w:eastAsia="Times New Roman" w:hAnsi="Times New Roman" w:cs="Times New Roman"/>
          <w:sz w:val="28"/>
        </w:rPr>
        <w:t>izados na administração pública,</w:t>
      </w:r>
      <w:r w:rsidR="00CE44FA" w:rsidRPr="0033727D">
        <w:rPr>
          <w:rFonts w:ascii="Times New Roman" w:eastAsia="Times New Roman" w:hAnsi="Times New Roman" w:cs="Times New Roman"/>
          <w:sz w:val="28"/>
        </w:rPr>
        <w:t xml:space="preserve"> trazendo para responsabilidade da PMSP a questão do ineditismo</w:t>
      </w:r>
      <w:r w:rsidR="00AC41B6" w:rsidRPr="0033727D">
        <w:rPr>
          <w:rFonts w:ascii="Times New Roman" w:eastAsia="Times New Roman" w:hAnsi="Times New Roman" w:cs="Times New Roman"/>
          <w:sz w:val="28"/>
        </w:rPr>
        <w:t>;</w:t>
      </w:r>
      <w:r w:rsidR="00CE44FA" w:rsidRPr="0033727D">
        <w:rPr>
          <w:rFonts w:ascii="Times New Roman" w:eastAsia="Times New Roman" w:hAnsi="Times New Roman" w:cs="Times New Roman"/>
          <w:sz w:val="28"/>
        </w:rPr>
        <w:t xml:space="preserve"> a cidade</w:t>
      </w:r>
      <w:r w:rsidR="00AC41B6" w:rsidRPr="0033727D">
        <w:rPr>
          <w:rFonts w:ascii="Times New Roman" w:eastAsia="Times New Roman" w:hAnsi="Times New Roman" w:cs="Times New Roman"/>
          <w:sz w:val="28"/>
        </w:rPr>
        <w:t xml:space="preserve"> de São Paulo</w:t>
      </w:r>
      <w:r w:rsidR="00CE44FA" w:rsidRPr="0033727D">
        <w:rPr>
          <w:rFonts w:ascii="Times New Roman" w:eastAsia="Times New Roman" w:hAnsi="Times New Roman" w:cs="Times New Roman"/>
          <w:sz w:val="28"/>
        </w:rPr>
        <w:t xml:space="preserve">, </w:t>
      </w:r>
      <w:r w:rsidR="00AC41B6" w:rsidRPr="0033727D">
        <w:rPr>
          <w:rFonts w:ascii="Times New Roman" w:eastAsia="Times New Roman" w:hAnsi="Times New Roman" w:cs="Times New Roman"/>
          <w:sz w:val="28"/>
        </w:rPr>
        <w:t xml:space="preserve">enquanto </w:t>
      </w:r>
      <w:r w:rsidR="00CE44FA" w:rsidRPr="0033727D">
        <w:rPr>
          <w:rFonts w:ascii="Times New Roman" w:eastAsia="Times New Roman" w:hAnsi="Times New Roman" w:cs="Times New Roman"/>
          <w:sz w:val="28"/>
        </w:rPr>
        <w:t>uma das maiores metrópoles do planeta</w:t>
      </w:r>
      <w:r w:rsidR="00AC41B6" w:rsidRPr="0033727D">
        <w:rPr>
          <w:rFonts w:ascii="Times New Roman" w:eastAsia="Times New Roman" w:hAnsi="Times New Roman" w:cs="Times New Roman"/>
          <w:sz w:val="28"/>
        </w:rPr>
        <w:t>, possui</w:t>
      </w:r>
      <w:r w:rsidR="00CE44FA" w:rsidRPr="0033727D">
        <w:rPr>
          <w:rFonts w:ascii="Times New Roman" w:eastAsia="Times New Roman" w:hAnsi="Times New Roman" w:cs="Times New Roman"/>
          <w:sz w:val="28"/>
        </w:rPr>
        <w:t xml:space="preserve"> </w:t>
      </w:r>
      <w:r w:rsidR="00AC41B6" w:rsidRPr="0033727D">
        <w:rPr>
          <w:rFonts w:ascii="Times New Roman" w:eastAsia="Times New Roman" w:hAnsi="Times New Roman" w:cs="Times New Roman"/>
          <w:sz w:val="28"/>
        </w:rPr>
        <w:t>um sistema viário complexo,</w:t>
      </w:r>
      <w:r w:rsidR="00CE44FA" w:rsidRPr="0033727D">
        <w:rPr>
          <w:rFonts w:ascii="Times New Roman" w:eastAsia="Times New Roman" w:hAnsi="Times New Roman" w:cs="Times New Roman"/>
          <w:sz w:val="28"/>
        </w:rPr>
        <w:t xml:space="preserve"> que conta com</w:t>
      </w:r>
      <w:r w:rsidR="0024765C" w:rsidRPr="0033727D">
        <w:rPr>
          <w:rFonts w:ascii="Times New Roman" w:eastAsia="Times New Roman" w:hAnsi="Times New Roman" w:cs="Times New Roman"/>
          <w:sz w:val="28"/>
        </w:rPr>
        <w:t xml:space="preserve"> </w:t>
      </w:r>
      <w:r w:rsidR="00CE44FA" w:rsidRPr="0033727D">
        <w:rPr>
          <w:rFonts w:ascii="Times New Roman" w:eastAsia="Times New Roman" w:hAnsi="Times New Roman" w:cs="Times New Roman"/>
          <w:sz w:val="28"/>
        </w:rPr>
        <w:t>uma infinidade de pontes, inexistindo margem para erro.</w:t>
      </w:r>
      <w:r w:rsidR="00600093" w:rsidRPr="0033727D">
        <w:rPr>
          <w:rFonts w:ascii="Times New Roman" w:eastAsia="Times New Roman" w:hAnsi="Times New Roman" w:cs="Times New Roman"/>
          <w:sz w:val="28"/>
        </w:rPr>
        <w:t xml:space="preserve"> </w:t>
      </w:r>
      <w:r w:rsidRPr="0033727D">
        <w:rPr>
          <w:rFonts w:ascii="Times New Roman" w:eastAsia="Times New Roman" w:hAnsi="Times New Roman" w:cs="Times New Roman"/>
          <w:sz w:val="28"/>
        </w:rPr>
        <w:t xml:space="preserve">Ademais, </w:t>
      </w:r>
      <w:r w:rsidR="00600093" w:rsidRPr="0033727D">
        <w:rPr>
          <w:rFonts w:ascii="Times New Roman" w:eastAsia="Times New Roman" w:hAnsi="Times New Roman" w:cs="Times New Roman"/>
          <w:sz w:val="28"/>
        </w:rPr>
        <w:t>argumentou</w:t>
      </w:r>
      <w:r w:rsidR="00CE44FA" w:rsidRPr="0033727D">
        <w:rPr>
          <w:rFonts w:ascii="Times New Roman" w:eastAsia="Times New Roman" w:hAnsi="Times New Roman" w:cs="Times New Roman"/>
          <w:sz w:val="28"/>
        </w:rPr>
        <w:t xml:space="preserve"> </w:t>
      </w:r>
      <w:r w:rsidR="00600093" w:rsidRPr="0033727D">
        <w:rPr>
          <w:rFonts w:ascii="Times New Roman" w:eastAsia="Times New Roman" w:hAnsi="Times New Roman" w:cs="Times New Roman"/>
          <w:sz w:val="28"/>
        </w:rPr>
        <w:t>que</w:t>
      </w:r>
      <w:r w:rsidR="00CE44FA" w:rsidRPr="0033727D">
        <w:rPr>
          <w:rFonts w:ascii="Times New Roman" w:eastAsia="Times New Roman" w:hAnsi="Times New Roman" w:cs="Times New Roman"/>
          <w:sz w:val="28"/>
        </w:rPr>
        <w:t xml:space="preserve"> efetuar a licitação sem levar </w:t>
      </w:r>
      <w:r w:rsidR="00E40F0A" w:rsidRPr="0033727D">
        <w:rPr>
          <w:rFonts w:ascii="Times New Roman" w:eastAsia="Times New Roman" w:hAnsi="Times New Roman" w:cs="Times New Roman"/>
          <w:sz w:val="28"/>
        </w:rPr>
        <w:t xml:space="preserve">plenamente </w:t>
      </w:r>
      <w:r w:rsidR="00CE44FA" w:rsidRPr="0033727D">
        <w:rPr>
          <w:rFonts w:ascii="Times New Roman" w:eastAsia="Times New Roman" w:hAnsi="Times New Roman" w:cs="Times New Roman"/>
          <w:sz w:val="28"/>
        </w:rPr>
        <w:t>em conta a</w:t>
      </w:r>
      <w:r w:rsidR="00EA231C">
        <w:rPr>
          <w:rFonts w:ascii="Times New Roman" w:eastAsia="Times New Roman" w:hAnsi="Times New Roman" w:cs="Times New Roman"/>
          <w:sz w:val="28"/>
        </w:rPr>
        <w:t xml:space="preserve"> qualificação dos profissionais e</w:t>
      </w:r>
      <w:r w:rsidR="00CE44FA" w:rsidRPr="0033727D">
        <w:rPr>
          <w:rFonts w:ascii="Times New Roman" w:eastAsia="Times New Roman" w:hAnsi="Times New Roman" w:cs="Times New Roman"/>
          <w:sz w:val="28"/>
        </w:rPr>
        <w:t xml:space="preserve"> da empresa, além de não se ter </w:t>
      </w:r>
      <w:r w:rsidR="00600093" w:rsidRPr="0033727D">
        <w:rPr>
          <w:rFonts w:ascii="Times New Roman" w:eastAsia="Times New Roman" w:hAnsi="Times New Roman" w:cs="Times New Roman"/>
          <w:sz w:val="28"/>
        </w:rPr>
        <w:t>clareza</w:t>
      </w:r>
      <w:r w:rsidR="00CE44FA" w:rsidRPr="0033727D">
        <w:rPr>
          <w:rFonts w:ascii="Times New Roman" w:eastAsia="Times New Roman" w:hAnsi="Times New Roman" w:cs="Times New Roman"/>
          <w:sz w:val="28"/>
        </w:rPr>
        <w:t xml:space="preserve"> de como </w:t>
      </w:r>
      <w:r w:rsidR="00E40F0A" w:rsidRPr="0033727D">
        <w:rPr>
          <w:rFonts w:ascii="Times New Roman" w:eastAsia="Times New Roman" w:hAnsi="Times New Roman" w:cs="Times New Roman"/>
          <w:sz w:val="28"/>
        </w:rPr>
        <w:t>a licitante encara o problema</w:t>
      </w:r>
      <w:r w:rsidR="00600093" w:rsidRPr="0033727D">
        <w:rPr>
          <w:rFonts w:ascii="Times New Roman" w:eastAsia="Times New Roman" w:hAnsi="Times New Roman" w:cs="Times New Roman"/>
          <w:sz w:val="28"/>
        </w:rPr>
        <w:t xml:space="preserve"> e</w:t>
      </w:r>
      <w:r w:rsidR="00CE44FA" w:rsidRPr="0033727D">
        <w:rPr>
          <w:rFonts w:ascii="Times New Roman" w:eastAsia="Times New Roman" w:hAnsi="Times New Roman" w:cs="Times New Roman"/>
          <w:sz w:val="28"/>
        </w:rPr>
        <w:t xml:space="preserve"> a metodologia de execução</w:t>
      </w:r>
      <w:r w:rsidR="00E40F0A" w:rsidRPr="0033727D">
        <w:rPr>
          <w:rFonts w:ascii="Times New Roman" w:eastAsia="Times New Roman" w:hAnsi="Times New Roman" w:cs="Times New Roman"/>
          <w:sz w:val="28"/>
        </w:rPr>
        <w:t>,</w:t>
      </w:r>
      <w:r w:rsidR="00CE44FA" w:rsidRPr="0033727D">
        <w:rPr>
          <w:rFonts w:ascii="Times New Roman" w:eastAsia="Times New Roman" w:hAnsi="Times New Roman" w:cs="Times New Roman"/>
          <w:sz w:val="28"/>
        </w:rPr>
        <w:t xml:space="preserve"> torna </w:t>
      </w:r>
      <w:r w:rsidR="00600093" w:rsidRPr="0033727D">
        <w:rPr>
          <w:rFonts w:ascii="Times New Roman" w:eastAsia="Times New Roman" w:hAnsi="Times New Roman" w:cs="Times New Roman"/>
          <w:sz w:val="28"/>
        </w:rPr>
        <w:t>o</w:t>
      </w:r>
      <w:r w:rsidR="00CE44FA" w:rsidRPr="0033727D">
        <w:rPr>
          <w:rFonts w:ascii="Times New Roman" w:eastAsia="Times New Roman" w:hAnsi="Times New Roman" w:cs="Times New Roman"/>
          <w:sz w:val="28"/>
        </w:rPr>
        <w:t xml:space="preserve"> risco muito elevado para a administração</w:t>
      </w:r>
      <w:r w:rsidR="00600093" w:rsidRPr="0033727D">
        <w:rPr>
          <w:rFonts w:ascii="Times New Roman" w:eastAsia="Times New Roman" w:hAnsi="Times New Roman" w:cs="Times New Roman"/>
          <w:sz w:val="28"/>
        </w:rPr>
        <w:t>.</w:t>
      </w:r>
      <w:r w:rsidR="00CE44FA" w:rsidRPr="0033727D">
        <w:rPr>
          <w:rFonts w:ascii="Times New Roman" w:eastAsia="Times New Roman" w:hAnsi="Times New Roman" w:cs="Times New Roman"/>
          <w:sz w:val="28"/>
        </w:rPr>
        <w:t xml:space="preserve"> </w:t>
      </w:r>
      <w:r w:rsidR="00600093" w:rsidRPr="0033727D">
        <w:rPr>
          <w:rFonts w:ascii="Times New Roman" w:eastAsia="Times New Roman" w:hAnsi="Times New Roman" w:cs="Times New Roman"/>
          <w:sz w:val="28"/>
        </w:rPr>
        <w:t xml:space="preserve">Conclui no sentido de </w:t>
      </w:r>
      <w:r w:rsidR="00CE44FA" w:rsidRPr="0033727D">
        <w:rPr>
          <w:rFonts w:ascii="Times New Roman" w:eastAsia="Times New Roman" w:hAnsi="Times New Roman" w:cs="Times New Roman"/>
          <w:sz w:val="28"/>
        </w:rPr>
        <w:t>que a realização dos serviços</w:t>
      </w:r>
      <w:r w:rsidR="00E40F0A" w:rsidRPr="0033727D">
        <w:rPr>
          <w:rFonts w:ascii="Times New Roman" w:eastAsia="Times New Roman" w:hAnsi="Times New Roman" w:cs="Times New Roman"/>
          <w:sz w:val="28"/>
        </w:rPr>
        <w:t xml:space="preserve"> com margem de erro</w:t>
      </w:r>
      <w:r w:rsidR="00CE44FA" w:rsidRPr="0033727D">
        <w:rPr>
          <w:rFonts w:ascii="Times New Roman" w:eastAsia="Times New Roman" w:hAnsi="Times New Roman" w:cs="Times New Roman"/>
          <w:sz w:val="28"/>
        </w:rPr>
        <w:t>, além de ter potencial para prejudicar a mobilidade no município, também pode colocar em risco bens materiais e em última análise vidas, como foi verificado em passado próximo.</w:t>
      </w:r>
    </w:p>
    <w:p w:rsidR="001825CA" w:rsidRPr="0033727D" w:rsidRDefault="001825CA" w:rsidP="001825CA">
      <w:pPr>
        <w:spacing w:before="0" w:line="276" w:lineRule="auto"/>
        <w:ind w:left="142" w:firstLine="1559"/>
        <w:jc w:val="both"/>
        <w:rPr>
          <w:rFonts w:ascii="Times New Roman" w:eastAsia="Times New Roman" w:hAnsi="Times New Roman" w:cs="Times New Roman"/>
          <w:sz w:val="28"/>
        </w:rPr>
      </w:pPr>
    </w:p>
    <w:p w:rsidR="00C87ACE" w:rsidRPr="0033727D" w:rsidRDefault="00CE44FA" w:rsidP="00C87ACE">
      <w:pPr>
        <w:spacing w:before="0" w:line="276" w:lineRule="auto"/>
        <w:ind w:left="142" w:firstLine="1559"/>
        <w:jc w:val="both"/>
        <w:rPr>
          <w:rFonts w:ascii="Times New Roman" w:eastAsia="Times New Roman" w:hAnsi="Times New Roman" w:cs="Times New Roman"/>
          <w:sz w:val="28"/>
        </w:rPr>
      </w:pPr>
      <w:r w:rsidRPr="0033727D">
        <w:rPr>
          <w:rFonts w:ascii="Times New Roman" w:eastAsia="Times New Roman" w:hAnsi="Times New Roman" w:cs="Times New Roman"/>
          <w:sz w:val="28"/>
        </w:rPr>
        <w:t xml:space="preserve">Diante </w:t>
      </w:r>
      <w:r w:rsidR="002A3CD3" w:rsidRPr="0033727D">
        <w:rPr>
          <w:rFonts w:ascii="Times New Roman" w:eastAsia="Times New Roman" w:hAnsi="Times New Roman" w:cs="Times New Roman"/>
          <w:sz w:val="28"/>
        </w:rPr>
        <w:t>dos esclarecimentos trazidos aos autos</w:t>
      </w:r>
      <w:r w:rsidRPr="0033727D">
        <w:rPr>
          <w:rFonts w:ascii="Times New Roman" w:eastAsia="Times New Roman" w:hAnsi="Times New Roman" w:cs="Times New Roman"/>
          <w:sz w:val="28"/>
        </w:rPr>
        <w:t xml:space="preserve">, </w:t>
      </w:r>
      <w:r w:rsidR="00D75598" w:rsidRPr="0033727D">
        <w:rPr>
          <w:rFonts w:ascii="Times New Roman" w:eastAsia="Times New Roman" w:hAnsi="Times New Roman" w:cs="Times New Roman"/>
          <w:sz w:val="28"/>
        </w:rPr>
        <w:t>tendo a acolher</w:t>
      </w:r>
      <w:r w:rsidR="00EA231C">
        <w:rPr>
          <w:rFonts w:ascii="Times New Roman" w:eastAsia="Times New Roman" w:hAnsi="Times New Roman" w:cs="Times New Roman"/>
          <w:sz w:val="28"/>
        </w:rPr>
        <w:t>,</w:t>
      </w:r>
      <w:r w:rsidR="00E40F0A" w:rsidRPr="0033727D">
        <w:rPr>
          <w:rFonts w:ascii="Times New Roman" w:eastAsia="Times New Roman" w:hAnsi="Times New Roman" w:cs="Times New Roman"/>
          <w:sz w:val="28"/>
        </w:rPr>
        <w:t xml:space="preserve"> como exceção</w:t>
      </w:r>
      <w:r w:rsidR="00EA231C">
        <w:rPr>
          <w:rFonts w:ascii="Times New Roman" w:eastAsia="Times New Roman" w:hAnsi="Times New Roman" w:cs="Times New Roman"/>
          <w:sz w:val="28"/>
        </w:rPr>
        <w:t>,</w:t>
      </w:r>
      <w:r w:rsidR="002A3CD3" w:rsidRPr="0033727D">
        <w:rPr>
          <w:rFonts w:ascii="Times New Roman" w:eastAsia="Times New Roman" w:hAnsi="Times New Roman" w:cs="Times New Roman"/>
          <w:sz w:val="28"/>
        </w:rPr>
        <w:t xml:space="preserve"> os argumentos para o caso concreto, hábeis a justificar </w:t>
      </w:r>
      <w:r w:rsidR="00EA231C">
        <w:rPr>
          <w:rFonts w:ascii="Times New Roman" w:eastAsia="Times New Roman" w:hAnsi="Times New Roman" w:cs="Times New Roman"/>
          <w:sz w:val="28"/>
        </w:rPr>
        <w:t xml:space="preserve">a </w:t>
      </w:r>
      <w:r w:rsidR="002A3CD3" w:rsidRPr="0033727D">
        <w:rPr>
          <w:rFonts w:ascii="Times New Roman" w:eastAsia="Times New Roman" w:hAnsi="Times New Roman" w:cs="Times New Roman"/>
          <w:sz w:val="28"/>
        </w:rPr>
        <w:t xml:space="preserve">ponderação adotada. </w:t>
      </w:r>
      <w:r w:rsidR="00D75598" w:rsidRPr="0033727D">
        <w:rPr>
          <w:rFonts w:ascii="Times New Roman" w:eastAsia="Times New Roman" w:hAnsi="Times New Roman" w:cs="Times New Roman"/>
          <w:sz w:val="28"/>
        </w:rPr>
        <w:t xml:space="preserve"> </w:t>
      </w:r>
    </w:p>
    <w:p w:rsidR="00C87ACE" w:rsidRDefault="00C87ACE" w:rsidP="00C87ACE">
      <w:pPr>
        <w:spacing w:before="0" w:line="276" w:lineRule="auto"/>
        <w:ind w:left="142" w:firstLine="1559"/>
        <w:jc w:val="both"/>
        <w:rPr>
          <w:rFonts w:ascii="Times New Roman" w:eastAsia="Times New Roman" w:hAnsi="Times New Roman" w:cs="Times New Roman"/>
          <w:sz w:val="28"/>
        </w:rPr>
      </w:pPr>
    </w:p>
    <w:p w:rsidR="00C87ACE" w:rsidRPr="00C87ACE" w:rsidRDefault="002A3CD3" w:rsidP="00C87ACE">
      <w:pPr>
        <w:spacing w:before="0" w:line="276" w:lineRule="auto"/>
        <w:ind w:left="142" w:firstLine="1559"/>
        <w:jc w:val="both"/>
        <w:rPr>
          <w:rFonts w:ascii="Times New Roman" w:eastAsia="Times New Roman" w:hAnsi="Times New Roman" w:cs="Times New Roman"/>
          <w:sz w:val="28"/>
        </w:rPr>
      </w:pPr>
      <w:r w:rsidRPr="00C87ACE">
        <w:rPr>
          <w:rFonts w:ascii="Times New Roman" w:eastAsia="Times New Roman" w:hAnsi="Times New Roman" w:cs="Times New Roman"/>
          <w:sz w:val="28"/>
        </w:rPr>
        <w:t xml:space="preserve">Nesse sentido, </w:t>
      </w:r>
      <w:r w:rsidR="001D1035" w:rsidRPr="00C87ACE">
        <w:rPr>
          <w:rFonts w:ascii="Times New Roman" w:eastAsia="Times New Roman" w:hAnsi="Times New Roman" w:cs="Times New Roman"/>
          <w:sz w:val="28"/>
        </w:rPr>
        <w:t xml:space="preserve">primeiramente, observo que, apesar </w:t>
      </w:r>
      <w:r w:rsidR="00C87ACE" w:rsidRPr="00C87ACE">
        <w:rPr>
          <w:rFonts w:ascii="Times New Roman" w:eastAsia="Times New Roman" w:hAnsi="Times New Roman" w:cs="Times New Roman"/>
          <w:sz w:val="28"/>
        </w:rPr>
        <w:t>de ser inerente à nota técnica algum</w:t>
      </w:r>
      <w:r w:rsidR="001D1035" w:rsidRPr="00C87ACE">
        <w:rPr>
          <w:rFonts w:ascii="Times New Roman" w:eastAsia="Times New Roman" w:hAnsi="Times New Roman" w:cs="Times New Roman"/>
          <w:sz w:val="28"/>
        </w:rPr>
        <w:t xml:space="preserve"> ele</w:t>
      </w:r>
      <w:r w:rsidR="00C50361" w:rsidRPr="00C87ACE">
        <w:rPr>
          <w:rFonts w:ascii="Times New Roman" w:eastAsia="Times New Roman" w:hAnsi="Times New Roman" w:cs="Times New Roman"/>
          <w:sz w:val="28"/>
        </w:rPr>
        <w:t xml:space="preserve">mento de subjetividade </w:t>
      </w:r>
      <w:r w:rsidR="00EA231C">
        <w:rPr>
          <w:rFonts w:ascii="Times New Roman" w:eastAsia="Times New Roman" w:hAnsi="Times New Roman" w:cs="Times New Roman"/>
          <w:sz w:val="28"/>
        </w:rPr>
        <w:t xml:space="preserve">técnica </w:t>
      </w:r>
      <w:r w:rsidR="00C50361" w:rsidRPr="00C87ACE">
        <w:rPr>
          <w:rFonts w:ascii="Times New Roman" w:eastAsia="Times New Roman" w:hAnsi="Times New Roman" w:cs="Times New Roman"/>
          <w:sz w:val="28"/>
        </w:rPr>
        <w:t xml:space="preserve">– que nos editais </w:t>
      </w:r>
      <w:r w:rsidR="00DD0023" w:rsidRPr="00C87ACE">
        <w:rPr>
          <w:rFonts w:ascii="Times New Roman" w:eastAsia="Times New Roman" w:hAnsi="Times New Roman" w:cs="Times New Roman"/>
          <w:sz w:val="28"/>
        </w:rPr>
        <w:t xml:space="preserve">é tratado no tópico </w:t>
      </w:r>
      <w:r w:rsidR="00C87ACE" w:rsidRPr="00C87ACE">
        <w:rPr>
          <w:rFonts w:ascii="Times New Roman" w:eastAsia="Times New Roman" w:hAnsi="Times New Roman" w:cs="Times New Roman"/>
          <w:sz w:val="28"/>
        </w:rPr>
        <w:t xml:space="preserve">“Conhecimento do Problema”, ressalto que a análise da situação e proposição de metodologia de serviço pressupõe aferição das melhores técnicas empregadas no mercado, em decisão a ser devidamente motivada. Sem prejuízo, </w:t>
      </w:r>
      <w:r w:rsidR="001D1035" w:rsidRPr="00C87ACE">
        <w:rPr>
          <w:rFonts w:ascii="Times New Roman" w:eastAsia="Times New Roman" w:hAnsi="Times New Roman" w:cs="Times New Roman"/>
          <w:sz w:val="28"/>
        </w:rPr>
        <w:t>observo que, no caso concreto, dentro dos itens que compõe</w:t>
      </w:r>
      <w:r w:rsidR="00C50361" w:rsidRPr="00C87ACE">
        <w:rPr>
          <w:rFonts w:ascii="Times New Roman" w:eastAsia="Times New Roman" w:hAnsi="Times New Roman" w:cs="Times New Roman"/>
          <w:sz w:val="28"/>
        </w:rPr>
        <w:t>m</w:t>
      </w:r>
      <w:r w:rsidR="001D1035" w:rsidRPr="00C87ACE">
        <w:rPr>
          <w:rFonts w:ascii="Times New Roman" w:eastAsia="Times New Roman" w:hAnsi="Times New Roman" w:cs="Times New Roman"/>
          <w:sz w:val="28"/>
        </w:rPr>
        <w:t xml:space="preserve"> a nota técnica, </w:t>
      </w:r>
      <w:r w:rsidR="00C87ACE" w:rsidRPr="00C87ACE">
        <w:rPr>
          <w:rFonts w:ascii="Times New Roman" w:eastAsia="Times New Roman" w:hAnsi="Times New Roman" w:cs="Times New Roman"/>
          <w:sz w:val="28"/>
        </w:rPr>
        <w:t>os outros 50</w:t>
      </w:r>
      <w:r w:rsidR="001D1035" w:rsidRPr="00C87ACE">
        <w:rPr>
          <w:rFonts w:ascii="Times New Roman" w:eastAsia="Times New Roman" w:hAnsi="Times New Roman" w:cs="Times New Roman"/>
          <w:sz w:val="28"/>
        </w:rPr>
        <w:t>%</w:t>
      </w:r>
      <w:r w:rsidR="00C87ACE" w:rsidRPr="00C87ACE">
        <w:rPr>
          <w:rFonts w:ascii="Times New Roman" w:eastAsia="Times New Roman" w:hAnsi="Times New Roman" w:cs="Times New Roman"/>
          <w:sz w:val="28"/>
        </w:rPr>
        <w:t xml:space="preserve"> de seu conteúdo possuem</w:t>
      </w:r>
      <w:r w:rsidR="001D1035" w:rsidRPr="00C87ACE">
        <w:rPr>
          <w:rFonts w:ascii="Times New Roman" w:eastAsia="Times New Roman" w:hAnsi="Times New Roman" w:cs="Times New Roman"/>
          <w:sz w:val="28"/>
        </w:rPr>
        <w:t xml:space="preserve"> natureza </w:t>
      </w:r>
      <w:r w:rsidR="001D1035" w:rsidRPr="00C87ACE">
        <w:rPr>
          <w:rFonts w:ascii="Times New Roman" w:eastAsia="Times New Roman" w:hAnsi="Times New Roman" w:cs="Times New Roman"/>
          <w:sz w:val="28"/>
        </w:rPr>
        <w:lastRenderedPageBreak/>
        <w:t xml:space="preserve">diretamente objetiva, na medida em que pontua </w:t>
      </w:r>
      <w:r w:rsidR="00C87ACE" w:rsidRPr="00C87ACE">
        <w:rPr>
          <w:rFonts w:ascii="Times New Roman" w:eastAsia="Times New Roman" w:hAnsi="Times New Roman" w:cs="Times New Roman"/>
          <w:sz w:val="28"/>
        </w:rPr>
        <w:t xml:space="preserve">a experiência da empresa e da </w:t>
      </w:r>
      <w:r w:rsidR="001D1035" w:rsidRPr="00C87ACE">
        <w:rPr>
          <w:rFonts w:ascii="Times New Roman" w:eastAsia="Times New Roman" w:hAnsi="Times New Roman" w:cs="Times New Roman"/>
          <w:sz w:val="28"/>
        </w:rPr>
        <w:t>equipe técnica</w:t>
      </w:r>
      <w:r w:rsidR="001825CA">
        <w:rPr>
          <w:rFonts w:ascii="Times New Roman" w:eastAsia="Times New Roman" w:hAnsi="Times New Roman" w:cs="Times New Roman"/>
          <w:sz w:val="28"/>
        </w:rPr>
        <w:t xml:space="preserve">. </w:t>
      </w:r>
    </w:p>
    <w:p w:rsidR="00C87ACE" w:rsidRDefault="00C87ACE" w:rsidP="001D1035">
      <w:pPr>
        <w:spacing w:before="0" w:line="276" w:lineRule="auto"/>
        <w:ind w:left="142" w:firstLine="1559"/>
        <w:jc w:val="both"/>
        <w:rPr>
          <w:rFonts w:ascii="Times New Roman" w:eastAsia="Times New Roman" w:hAnsi="Times New Roman" w:cs="Times New Roman"/>
          <w:sz w:val="28"/>
        </w:rPr>
      </w:pPr>
    </w:p>
    <w:p w:rsidR="001D1035" w:rsidRDefault="001825CA" w:rsidP="001D1035">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Tal constatação </w:t>
      </w:r>
      <w:r w:rsidR="00C50361">
        <w:rPr>
          <w:rFonts w:ascii="Times New Roman" w:eastAsia="Times New Roman" w:hAnsi="Times New Roman" w:cs="Times New Roman"/>
          <w:sz w:val="28"/>
        </w:rPr>
        <w:t>minimiza os riscos quanto à adoção da ponderação adotada pela SIURB.</w:t>
      </w:r>
    </w:p>
    <w:p w:rsidR="001D1035" w:rsidRDefault="001D1035" w:rsidP="001D1035">
      <w:pPr>
        <w:spacing w:before="0" w:line="276" w:lineRule="auto"/>
        <w:ind w:left="142" w:firstLine="1559"/>
        <w:jc w:val="both"/>
        <w:rPr>
          <w:rFonts w:ascii="Times New Roman" w:eastAsia="Times New Roman" w:hAnsi="Times New Roman" w:cs="Times New Roman"/>
          <w:sz w:val="28"/>
        </w:rPr>
      </w:pPr>
    </w:p>
    <w:p w:rsidR="001D1035" w:rsidRDefault="001D1035" w:rsidP="001D1035">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Outrossim, </w:t>
      </w:r>
      <w:r w:rsidR="002A3CD3">
        <w:rPr>
          <w:rFonts w:ascii="Times New Roman" w:eastAsia="Times New Roman" w:hAnsi="Times New Roman" w:cs="Times New Roman"/>
          <w:sz w:val="28"/>
        </w:rPr>
        <w:t>destaco</w:t>
      </w:r>
      <w:r w:rsidR="00CE44FA">
        <w:rPr>
          <w:rFonts w:ascii="Times New Roman" w:eastAsia="Times New Roman" w:hAnsi="Times New Roman" w:cs="Times New Roman"/>
          <w:sz w:val="28"/>
        </w:rPr>
        <w:t xml:space="preserve"> </w:t>
      </w:r>
      <w:r w:rsidR="00D75598">
        <w:rPr>
          <w:rFonts w:ascii="Times New Roman" w:eastAsia="Times New Roman" w:hAnsi="Times New Roman" w:cs="Times New Roman"/>
          <w:sz w:val="28"/>
        </w:rPr>
        <w:t xml:space="preserve">o fato de que </w:t>
      </w:r>
      <w:r w:rsidR="00CE44FA">
        <w:rPr>
          <w:rFonts w:ascii="Times New Roman" w:eastAsia="Times New Roman" w:hAnsi="Times New Roman" w:cs="Times New Roman"/>
          <w:sz w:val="28"/>
        </w:rPr>
        <w:t>a jurisprudência aceita como limite máximo a adoção da ponderação 70% técnica e 30% preço par</w:t>
      </w:r>
      <w:r w:rsidR="002A3CD3">
        <w:rPr>
          <w:rFonts w:ascii="Times New Roman" w:eastAsia="Times New Roman" w:hAnsi="Times New Roman" w:cs="Times New Roman"/>
          <w:sz w:val="28"/>
        </w:rPr>
        <w:t>a as licitações técnica e preço. Ademais,</w:t>
      </w:r>
      <w:r w:rsidR="00CE44FA">
        <w:rPr>
          <w:rFonts w:ascii="Times New Roman" w:eastAsia="Times New Roman" w:hAnsi="Times New Roman" w:cs="Times New Roman"/>
          <w:sz w:val="28"/>
        </w:rPr>
        <w:t xml:space="preserve"> o caráter excepcionalmente técnico dos serviços que </w:t>
      </w:r>
      <w:r w:rsidR="00D75598">
        <w:rPr>
          <w:rFonts w:ascii="Times New Roman" w:eastAsia="Times New Roman" w:hAnsi="Times New Roman" w:cs="Times New Roman"/>
          <w:sz w:val="28"/>
        </w:rPr>
        <w:t>serão realizados</w:t>
      </w:r>
      <w:r w:rsidR="002A3CD3">
        <w:rPr>
          <w:rFonts w:ascii="Times New Roman" w:eastAsia="Times New Roman" w:hAnsi="Times New Roman" w:cs="Times New Roman"/>
          <w:sz w:val="28"/>
        </w:rPr>
        <w:t xml:space="preserve"> e</w:t>
      </w:r>
      <w:r w:rsidR="00CE44FA">
        <w:rPr>
          <w:rFonts w:ascii="Times New Roman" w:eastAsia="Times New Roman" w:hAnsi="Times New Roman" w:cs="Times New Roman"/>
          <w:sz w:val="28"/>
        </w:rPr>
        <w:t xml:space="preserve"> </w:t>
      </w:r>
      <w:r w:rsidR="00D75598">
        <w:rPr>
          <w:rFonts w:ascii="Times New Roman" w:eastAsia="Times New Roman" w:hAnsi="Times New Roman" w:cs="Times New Roman"/>
          <w:sz w:val="28"/>
        </w:rPr>
        <w:t>a complexidade da</w:t>
      </w:r>
      <w:r w:rsidR="00CE44FA">
        <w:rPr>
          <w:rFonts w:ascii="Times New Roman" w:eastAsia="Times New Roman" w:hAnsi="Times New Roman" w:cs="Times New Roman"/>
          <w:sz w:val="28"/>
        </w:rPr>
        <w:t xml:space="preserve"> gestão que envolve todas as pontes, viadutos e passarelas que compõem o sistema de O</w:t>
      </w:r>
      <w:r w:rsidR="0024765C">
        <w:rPr>
          <w:rFonts w:ascii="Times New Roman" w:eastAsia="Times New Roman" w:hAnsi="Times New Roman" w:cs="Times New Roman"/>
          <w:sz w:val="28"/>
        </w:rPr>
        <w:t>AE</w:t>
      </w:r>
      <w:r w:rsidR="002A3CD3">
        <w:rPr>
          <w:rFonts w:ascii="Times New Roman" w:eastAsia="Times New Roman" w:hAnsi="Times New Roman" w:cs="Times New Roman"/>
          <w:sz w:val="28"/>
        </w:rPr>
        <w:t>s da Cidade de São Paulo parece-nos suficiente para evidenciar a razoabilidade das justificativas apresentadas. Afinal, não podemos perder de vista</w:t>
      </w:r>
      <w:r w:rsidR="00CE44FA">
        <w:rPr>
          <w:rFonts w:ascii="Times New Roman" w:eastAsia="Times New Roman" w:hAnsi="Times New Roman" w:cs="Times New Roman"/>
          <w:sz w:val="28"/>
        </w:rPr>
        <w:t xml:space="preserve"> o estado das obras de</w:t>
      </w:r>
      <w:r w:rsidR="00E40F0A">
        <w:rPr>
          <w:rFonts w:ascii="Times New Roman" w:eastAsia="Times New Roman" w:hAnsi="Times New Roman" w:cs="Times New Roman"/>
          <w:sz w:val="28"/>
        </w:rPr>
        <w:t xml:space="preserve"> arte do Município, demonstrado</w:t>
      </w:r>
      <w:r w:rsidR="00CE44FA">
        <w:rPr>
          <w:rFonts w:ascii="Times New Roman" w:eastAsia="Times New Roman" w:hAnsi="Times New Roman" w:cs="Times New Roman"/>
          <w:sz w:val="28"/>
        </w:rPr>
        <w:t xml:space="preserve"> desde 2007 pelo </w:t>
      </w:r>
      <w:r w:rsidR="002B1C36" w:rsidRPr="002B1C36">
        <w:rPr>
          <w:rFonts w:ascii="Times New Roman" w:eastAsia="Times New Roman" w:hAnsi="Times New Roman" w:cs="Times New Roman"/>
          <w:sz w:val="28"/>
        </w:rPr>
        <w:t xml:space="preserve">Sindicato Nacional das Empresas de Arquitetura e Engenharia Consultiva </w:t>
      </w:r>
      <w:r w:rsidR="002B1C36">
        <w:rPr>
          <w:rFonts w:ascii="Times New Roman" w:eastAsia="Times New Roman" w:hAnsi="Times New Roman" w:cs="Times New Roman"/>
          <w:sz w:val="28"/>
        </w:rPr>
        <w:t xml:space="preserve">- </w:t>
      </w:r>
      <w:r w:rsidR="00CE44FA">
        <w:rPr>
          <w:rFonts w:ascii="Times New Roman" w:eastAsia="Times New Roman" w:hAnsi="Times New Roman" w:cs="Times New Roman"/>
          <w:sz w:val="28"/>
        </w:rPr>
        <w:t xml:space="preserve">SINAENCO com a </w:t>
      </w:r>
      <w:r w:rsidR="00CE44FA" w:rsidRPr="00F53A5D">
        <w:rPr>
          <w:rFonts w:ascii="Times New Roman" w:eastAsia="Times New Roman" w:hAnsi="Times New Roman" w:cs="Times New Roman"/>
          <w:sz w:val="28"/>
        </w:rPr>
        <w:t>C</w:t>
      </w:r>
      <w:r w:rsidR="002753FC" w:rsidRPr="00F53A5D">
        <w:rPr>
          <w:rFonts w:ascii="Times New Roman" w:eastAsia="Times New Roman" w:hAnsi="Times New Roman" w:cs="Times New Roman"/>
          <w:sz w:val="28"/>
        </w:rPr>
        <w:t>ampanha</w:t>
      </w:r>
      <w:r w:rsidR="00CE44FA" w:rsidRPr="00F53A5D">
        <w:rPr>
          <w:rFonts w:ascii="Times New Roman" w:eastAsia="Times New Roman" w:hAnsi="Times New Roman" w:cs="Times New Roman"/>
          <w:sz w:val="28"/>
        </w:rPr>
        <w:t xml:space="preserve"> P</w:t>
      </w:r>
      <w:r w:rsidR="002753FC" w:rsidRPr="00F53A5D">
        <w:rPr>
          <w:rFonts w:ascii="Times New Roman" w:eastAsia="Times New Roman" w:hAnsi="Times New Roman" w:cs="Times New Roman"/>
          <w:sz w:val="28"/>
        </w:rPr>
        <w:t>ela</w:t>
      </w:r>
      <w:r w:rsidR="00CE44FA" w:rsidRPr="00F53A5D">
        <w:rPr>
          <w:rFonts w:ascii="Times New Roman" w:eastAsia="Times New Roman" w:hAnsi="Times New Roman" w:cs="Times New Roman"/>
          <w:sz w:val="28"/>
        </w:rPr>
        <w:t xml:space="preserve"> M</w:t>
      </w:r>
      <w:r w:rsidR="002753FC" w:rsidRPr="00F53A5D">
        <w:rPr>
          <w:rFonts w:ascii="Times New Roman" w:eastAsia="Times New Roman" w:hAnsi="Times New Roman" w:cs="Times New Roman"/>
          <w:sz w:val="28"/>
        </w:rPr>
        <w:t>anutenção</w:t>
      </w:r>
      <w:r w:rsidR="00CE44FA" w:rsidRPr="00F53A5D">
        <w:rPr>
          <w:rFonts w:ascii="Times New Roman" w:eastAsia="Times New Roman" w:hAnsi="Times New Roman" w:cs="Times New Roman"/>
          <w:sz w:val="28"/>
        </w:rPr>
        <w:t xml:space="preserve"> </w:t>
      </w:r>
      <w:r w:rsidR="002753FC" w:rsidRPr="00F53A5D">
        <w:rPr>
          <w:rFonts w:ascii="Times New Roman" w:eastAsia="Times New Roman" w:hAnsi="Times New Roman" w:cs="Times New Roman"/>
          <w:sz w:val="28"/>
        </w:rPr>
        <w:t>do</w:t>
      </w:r>
      <w:r w:rsidR="00CE44FA" w:rsidRPr="00F53A5D">
        <w:rPr>
          <w:rFonts w:ascii="Times New Roman" w:eastAsia="Times New Roman" w:hAnsi="Times New Roman" w:cs="Times New Roman"/>
          <w:sz w:val="28"/>
        </w:rPr>
        <w:t xml:space="preserve"> A</w:t>
      </w:r>
      <w:r w:rsidR="002753FC" w:rsidRPr="00F53A5D">
        <w:rPr>
          <w:rFonts w:ascii="Times New Roman" w:eastAsia="Times New Roman" w:hAnsi="Times New Roman" w:cs="Times New Roman"/>
          <w:sz w:val="28"/>
        </w:rPr>
        <w:t>mbiente</w:t>
      </w:r>
      <w:r w:rsidR="00CE44FA" w:rsidRPr="00F53A5D">
        <w:rPr>
          <w:rFonts w:ascii="Times New Roman" w:eastAsia="Times New Roman" w:hAnsi="Times New Roman" w:cs="Times New Roman"/>
          <w:sz w:val="28"/>
        </w:rPr>
        <w:t xml:space="preserve"> C</w:t>
      </w:r>
      <w:r w:rsidR="002753FC" w:rsidRPr="00F53A5D">
        <w:rPr>
          <w:rFonts w:ascii="Times New Roman" w:eastAsia="Times New Roman" w:hAnsi="Times New Roman" w:cs="Times New Roman"/>
          <w:sz w:val="28"/>
        </w:rPr>
        <w:t>onstruído</w:t>
      </w:r>
      <w:r w:rsidR="00E40F0A">
        <w:rPr>
          <w:rFonts w:ascii="Times New Roman" w:eastAsia="Times New Roman" w:hAnsi="Times New Roman" w:cs="Times New Roman"/>
          <w:sz w:val="28"/>
        </w:rPr>
        <w:t>, elaborada</w:t>
      </w:r>
      <w:r w:rsidR="00CE44FA">
        <w:rPr>
          <w:rFonts w:ascii="Times New Roman" w:eastAsia="Times New Roman" w:hAnsi="Times New Roman" w:cs="Times New Roman"/>
          <w:sz w:val="28"/>
        </w:rPr>
        <w:t xml:space="preserve"> em 2007</w:t>
      </w:r>
      <w:r w:rsidR="002753FC">
        <w:rPr>
          <w:rStyle w:val="Refdenotaderodap"/>
          <w:rFonts w:ascii="Times New Roman" w:eastAsia="Times New Roman" w:hAnsi="Times New Roman" w:cs="Times New Roman"/>
          <w:sz w:val="28"/>
        </w:rPr>
        <w:footnoteReference w:id="7"/>
      </w:r>
      <w:r w:rsidR="00CE44FA">
        <w:rPr>
          <w:rFonts w:ascii="Times New Roman" w:eastAsia="Times New Roman" w:hAnsi="Times New Roman" w:cs="Times New Roman"/>
          <w:sz w:val="28"/>
        </w:rPr>
        <w:t xml:space="preserve"> e 2017</w:t>
      </w:r>
      <w:r w:rsidR="002753FC">
        <w:rPr>
          <w:rStyle w:val="Refdenotaderodap"/>
          <w:rFonts w:ascii="Times New Roman" w:eastAsia="Times New Roman" w:hAnsi="Times New Roman" w:cs="Times New Roman"/>
          <w:sz w:val="28"/>
        </w:rPr>
        <w:footnoteReference w:id="8"/>
      </w:r>
      <w:r w:rsidR="00CE44FA">
        <w:rPr>
          <w:rFonts w:ascii="Times New Roman" w:eastAsia="Times New Roman" w:hAnsi="Times New Roman" w:cs="Times New Roman"/>
          <w:sz w:val="28"/>
        </w:rPr>
        <w:t>;</w:t>
      </w:r>
      <w:r w:rsidR="00CE44FA" w:rsidRPr="00F53A5D">
        <w:rPr>
          <w:rFonts w:ascii="Times New Roman" w:eastAsia="Times New Roman" w:hAnsi="Times New Roman" w:cs="Times New Roman"/>
          <w:sz w:val="28"/>
        </w:rPr>
        <w:t xml:space="preserve"> </w:t>
      </w:r>
      <w:r w:rsidR="00EA231C">
        <w:rPr>
          <w:rFonts w:ascii="Times New Roman" w:eastAsia="Times New Roman" w:hAnsi="Times New Roman" w:cs="Times New Roman"/>
          <w:sz w:val="28"/>
        </w:rPr>
        <w:t xml:space="preserve">sendo </w:t>
      </w:r>
      <w:r w:rsidR="00CE44FA">
        <w:rPr>
          <w:rFonts w:ascii="Times New Roman" w:eastAsia="Times New Roman" w:hAnsi="Times New Roman" w:cs="Times New Roman"/>
          <w:sz w:val="28"/>
        </w:rPr>
        <w:t>que</w:t>
      </w:r>
      <w:r w:rsidR="00D75598">
        <w:rPr>
          <w:rFonts w:ascii="Times New Roman" w:eastAsia="Times New Roman" w:hAnsi="Times New Roman" w:cs="Times New Roman"/>
          <w:sz w:val="28"/>
        </w:rPr>
        <w:t>,</w:t>
      </w:r>
      <w:r w:rsidR="00CE44FA">
        <w:rPr>
          <w:rFonts w:ascii="Times New Roman" w:eastAsia="Times New Roman" w:hAnsi="Times New Roman" w:cs="Times New Roman"/>
          <w:sz w:val="28"/>
        </w:rPr>
        <w:t xml:space="preserve"> após o colapso do Viaduto da Marginal Pinheiros e da Dutra</w:t>
      </w:r>
      <w:r w:rsidR="00D75598">
        <w:rPr>
          <w:rFonts w:ascii="Times New Roman" w:eastAsia="Times New Roman" w:hAnsi="Times New Roman" w:cs="Times New Roman"/>
          <w:sz w:val="28"/>
        </w:rPr>
        <w:t>,</w:t>
      </w:r>
      <w:r w:rsidR="00CE44FA">
        <w:rPr>
          <w:rFonts w:ascii="Times New Roman" w:eastAsia="Times New Roman" w:hAnsi="Times New Roman" w:cs="Times New Roman"/>
          <w:sz w:val="28"/>
        </w:rPr>
        <w:t xml:space="preserve"> foram necessárias diversas intervenções </w:t>
      </w:r>
      <w:r w:rsidR="00D75598">
        <w:rPr>
          <w:rFonts w:ascii="Times New Roman" w:eastAsia="Times New Roman" w:hAnsi="Times New Roman" w:cs="Times New Roman"/>
          <w:sz w:val="28"/>
        </w:rPr>
        <w:t xml:space="preserve">emergenciais </w:t>
      </w:r>
      <w:r w:rsidR="00CE44FA">
        <w:rPr>
          <w:rFonts w:ascii="Times New Roman" w:eastAsia="Times New Roman" w:hAnsi="Times New Roman" w:cs="Times New Roman"/>
          <w:sz w:val="28"/>
        </w:rPr>
        <w:t>em obras de arte especiais para garant</w:t>
      </w:r>
      <w:r w:rsidR="00D75598">
        <w:rPr>
          <w:rFonts w:ascii="Times New Roman" w:eastAsia="Times New Roman" w:hAnsi="Times New Roman" w:cs="Times New Roman"/>
          <w:sz w:val="28"/>
        </w:rPr>
        <w:t xml:space="preserve">ir o seu </w:t>
      </w:r>
      <w:r w:rsidR="00E40F0A">
        <w:rPr>
          <w:rFonts w:ascii="Times New Roman" w:eastAsia="Times New Roman" w:hAnsi="Times New Roman" w:cs="Times New Roman"/>
          <w:sz w:val="28"/>
        </w:rPr>
        <w:t>adequado</w:t>
      </w:r>
      <w:r w:rsidR="00D75598">
        <w:rPr>
          <w:rFonts w:ascii="Times New Roman" w:eastAsia="Times New Roman" w:hAnsi="Times New Roman" w:cs="Times New Roman"/>
          <w:sz w:val="28"/>
        </w:rPr>
        <w:t xml:space="preserve"> funcionamento.</w:t>
      </w:r>
    </w:p>
    <w:p w:rsidR="00CE44FA" w:rsidRDefault="00CE44FA" w:rsidP="00CE44FA">
      <w:pPr>
        <w:spacing w:before="0" w:line="276" w:lineRule="auto"/>
        <w:ind w:left="142" w:firstLine="1559"/>
        <w:jc w:val="both"/>
        <w:rPr>
          <w:rFonts w:ascii="Times New Roman" w:eastAsia="Times New Roman" w:hAnsi="Times New Roman" w:cs="Times New Roman"/>
          <w:sz w:val="28"/>
        </w:rPr>
      </w:pPr>
    </w:p>
    <w:p w:rsidR="00CE44FA" w:rsidRDefault="00CE44FA" w:rsidP="00CE44FA">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Assim, </w:t>
      </w:r>
      <w:r w:rsidR="00D75598">
        <w:rPr>
          <w:rFonts w:ascii="Times New Roman" w:eastAsia="Times New Roman" w:hAnsi="Times New Roman" w:cs="Times New Roman"/>
          <w:sz w:val="28"/>
        </w:rPr>
        <w:t>entendo que o apontamento pode</w:t>
      </w:r>
      <w:r>
        <w:rPr>
          <w:rFonts w:ascii="Times New Roman" w:eastAsia="Times New Roman" w:hAnsi="Times New Roman" w:cs="Times New Roman"/>
          <w:sz w:val="28"/>
        </w:rPr>
        <w:t xml:space="preserve"> ser superado</w:t>
      </w:r>
      <w:r w:rsidR="00D75598">
        <w:rPr>
          <w:rFonts w:ascii="Times New Roman" w:eastAsia="Times New Roman" w:hAnsi="Times New Roman" w:cs="Times New Roman"/>
          <w:sz w:val="28"/>
        </w:rPr>
        <w:t>,</w:t>
      </w:r>
      <w:r>
        <w:rPr>
          <w:rFonts w:ascii="Times New Roman" w:eastAsia="Times New Roman" w:hAnsi="Times New Roman" w:cs="Times New Roman"/>
          <w:sz w:val="28"/>
        </w:rPr>
        <w:t xml:space="preserve"> desde que a SIURB adote para a nota de preços a mesma v</w:t>
      </w:r>
      <w:r w:rsidR="0020035D">
        <w:rPr>
          <w:rFonts w:ascii="Times New Roman" w:eastAsia="Times New Roman" w:hAnsi="Times New Roman" w:cs="Times New Roman"/>
          <w:sz w:val="28"/>
        </w:rPr>
        <w:t>ariação da nota da técnica, conforme</w:t>
      </w:r>
      <w:r>
        <w:rPr>
          <w:rFonts w:ascii="Times New Roman" w:eastAsia="Times New Roman" w:hAnsi="Times New Roman" w:cs="Times New Roman"/>
          <w:sz w:val="28"/>
        </w:rPr>
        <w:t xml:space="preserve"> apontado pela SFC e demonstrado no estudo da Controladoria Geral da União – CGU.</w:t>
      </w:r>
    </w:p>
    <w:p w:rsidR="00720A4B" w:rsidRPr="00720A4B" w:rsidRDefault="00720A4B" w:rsidP="0033727D">
      <w:pPr>
        <w:spacing w:before="0" w:line="276" w:lineRule="auto"/>
        <w:jc w:val="both"/>
        <w:rPr>
          <w:rFonts w:ascii="Times New Roman" w:eastAsia="Times New Roman" w:hAnsi="Times New Roman" w:cs="Times New Roman"/>
          <w:sz w:val="28"/>
        </w:rPr>
      </w:pPr>
    </w:p>
    <w:p w:rsidR="0065521B" w:rsidRPr="00720A4B" w:rsidRDefault="0065521B" w:rsidP="00CE78C2">
      <w:pPr>
        <w:pStyle w:val="PargrafodaLista"/>
        <w:numPr>
          <w:ilvl w:val="0"/>
          <w:numId w:val="29"/>
        </w:numPr>
        <w:spacing w:before="0" w:line="276" w:lineRule="auto"/>
        <w:jc w:val="both"/>
        <w:rPr>
          <w:rFonts w:ascii="Times New Roman" w:eastAsia="Times New Roman" w:hAnsi="Times New Roman" w:cs="Times New Roman"/>
          <w:b/>
          <w:sz w:val="28"/>
        </w:rPr>
      </w:pPr>
      <w:r w:rsidRPr="00720A4B">
        <w:rPr>
          <w:rFonts w:ascii="Times New Roman" w:eastAsia="Times New Roman" w:hAnsi="Times New Roman" w:cs="Times New Roman"/>
          <w:b/>
          <w:sz w:val="28"/>
        </w:rPr>
        <w:t>Quantitativos de serviços e preços unitários (5.5); Sobrepreço dos ensaios tecnológicos (PET 01) (5.6); Duplicidade na remuneração de serviços (5.7); Sobrepreço dos ensaios tecnológicos (PET 02) (5.8)</w:t>
      </w:r>
    </w:p>
    <w:p w:rsidR="004A5404" w:rsidRDefault="004A5404" w:rsidP="004A5404">
      <w:pPr>
        <w:spacing w:before="0" w:line="276" w:lineRule="auto"/>
        <w:jc w:val="both"/>
        <w:rPr>
          <w:rFonts w:ascii="Times New Roman" w:eastAsia="Times New Roman" w:hAnsi="Times New Roman" w:cs="Times New Roman"/>
          <w:sz w:val="28"/>
        </w:rPr>
      </w:pPr>
    </w:p>
    <w:p w:rsidR="00720A4B" w:rsidRDefault="0065521B" w:rsidP="00720A4B">
      <w:pPr>
        <w:spacing w:before="0" w:line="276" w:lineRule="auto"/>
        <w:ind w:left="142" w:firstLine="1559"/>
        <w:jc w:val="both"/>
        <w:rPr>
          <w:rFonts w:ascii="Times New Roman" w:eastAsia="Times New Roman" w:hAnsi="Times New Roman" w:cs="Times New Roman"/>
          <w:sz w:val="28"/>
        </w:rPr>
      </w:pPr>
      <w:r w:rsidRPr="0065521B">
        <w:rPr>
          <w:rFonts w:ascii="Times New Roman" w:eastAsia="Times New Roman" w:hAnsi="Times New Roman" w:cs="Times New Roman"/>
          <w:sz w:val="28"/>
        </w:rPr>
        <w:lastRenderedPageBreak/>
        <w:t xml:space="preserve">Tendo em vista que </w:t>
      </w:r>
      <w:r w:rsidR="00B737A4">
        <w:rPr>
          <w:rFonts w:ascii="Times New Roman" w:eastAsia="Times New Roman" w:hAnsi="Times New Roman" w:cs="Times New Roman"/>
          <w:sz w:val="28"/>
        </w:rPr>
        <w:t xml:space="preserve">os </w:t>
      </w:r>
      <w:r w:rsidRPr="0065521B">
        <w:rPr>
          <w:rFonts w:ascii="Times New Roman" w:eastAsia="Times New Roman" w:hAnsi="Times New Roman" w:cs="Times New Roman"/>
          <w:sz w:val="28"/>
        </w:rPr>
        <w:t xml:space="preserve">serviços </w:t>
      </w:r>
      <w:r w:rsidR="00B737A4">
        <w:rPr>
          <w:rFonts w:ascii="Times New Roman" w:eastAsia="Times New Roman" w:hAnsi="Times New Roman" w:cs="Times New Roman"/>
          <w:sz w:val="28"/>
        </w:rPr>
        <w:t xml:space="preserve">acima enumerados </w:t>
      </w:r>
      <w:r w:rsidRPr="0065521B">
        <w:rPr>
          <w:rFonts w:ascii="Times New Roman" w:eastAsia="Times New Roman" w:hAnsi="Times New Roman" w:cs="Times New Roman"/>
          <w:sz w:val="28"/>
        </w:rPr>
        <w:t xml:space="preserve">não mais constam dos orçamentos de referência da licitação, </w:t>
      </w:r>
      <w:r w:rsidR="00B737A4">
        <w:rPr>
          <w:rFonts w:ascii="Times New Roman" w:eastAsia="Times New Roman" w:hAnsi="Times New Roman" w:cs="Times New Roman"/>
          <w:sz w:val="28"/>
        </w:rPr>
        <w:t xml:space="preserve">na forma dos editais </w:t>
      </w:r>
      <w:r w:rsidRPr="0065521B">
        <w:rPr>
          <w:rFonts w:ascii="Times New Roman" w:eastAsia="Times New Roman" w:hAnsi="Times New Roman" w:cs="Times New Roman"/>
          <w:sz w:val="28"/>
        </w:rPr>
        <w:t>republicados em 28.12.2019, resta prejudicada a verificação desses apontamentos.</w:t>
      </w:r>
    </w:p>
    <w:p w:rsidR="004A5404" w:rsidRDefault="004A5404" w:rsidP="00720A4B">
      <w:pPr>
        <w:spacing w:before="0" w:line="276" w:lineRule="auto"/>
        <w:ind w:left="142" w:firstLine="1559"/>
        <w:jc w:val="both"/>
        <w:rPr>
          <w:rFonts w:ascii="Times New Roman" w:eastAsia="Times New Roman" w:hAnsi="Times New Roman" w:cs="Times New Roman"/>
          <w:sz w:val="28"/>
        </w:rPr>
      </w:pPr>
    </w:p>
    <w:p w:rsidR="0091595D" w:rsidRPr="004A5404" w:rsidRDefault="0065521B" w:rsidP="00720A4B">
      <w:pPr>
        <w:spacing w:before="0" w:line="276" w:lineRule="auto"/>
        <w:ind w:left="142" w:firstLine="1559"/>
        <w:jc w:val="both"/>
        <w:rPr>
          <w:rFonts w:ascii="Times New Roman" w:eastAsia="Times New Roman" w:hAnsi="Times New Roman" w:cs="Times New Roman"/>
          <w:sz w:val="28"/>
        </w:rPr>
      </w:pPr>
      <w:r w:rsidRPr="0065521B">
        <w:rPr>
          <w:rFonts w:ascii="Times New Roman" w:eastAsia="Times New Roman" w:hAnsi="Times New Roman" w:cs="Times New Roman"/>
          <w:sz w:val="28"/>
        </w:rPr>
        <w:t xml:space="preserve">Contudo, </w:t>
      </w:r>
      <w:r w:rsidR="004F18D0">
        <w:rPr>
          <w:rFonts w:ascii="Times New Roman" w:eastAsia="Times New Roman" w:hAnsi="Times New Roman" w:cs="Times New Roman"/>
          <w:sz w:val="28"/>
        </w:rPr>
        <w:t>alerto</w:t>
      </w:r>
      <w:r w:rsidRPr="0065521B">
        <w:rPr>
          <w:rFonts w:ascii="Times New Roman" w:eastAsia="Times New Roman" w:hAnsi="Times New Roman" w:cs="Times New Roman"/>
          <w:sz w:val="28"/>
        </w:rPr>
        <w:t xml:space="preserve"> que, </w:t>
      </w:r>
      <w:r w:rsidRPr="004A5404">
        <w:rPr>
          <w:rFonts w:ascii="Times New Roman" w:eastAsia="Times New Roman" w:hAnsi="Times New Roman" w:cs="Times New Roman"/>
          <w:sz w:val="28"/>
        </w:rPr>
        <w:t>caso a SIURB venha</w:t>
      </w:r>
      <w:r w:rsidR="004F18D0" w:rsidRPr="004A5404">
        <w:rPr>
          <w:rFonts w:ascii="Times New Roman" w:eastAsia="Times New Roman" w:hAnsi="Times New Roman" w:cs="Times New Roman"/>
          <w:sz w:val="28"/>
        </w:rPr>
        <w:t xml:space="preserve"> </w:t>
      </w:r>
      <w:r w:rsidR="00E40F0A" w:rsidRPr="004A5404">
        <w:rPr>
          <w:rFonts w:ascii="Times New Roman" w:eastAsia="Times New Roman" w:hAnsi="Times New Roman" w:cs="Times New Roman"/>
          <w:sz w:val="28"/>
        </w:rPr>
        <w:t>a</w:t>
      </w:r>
      <w:r w:rsidRPr="004A5404">
        <w:rPr>
          <w:rFonts w:ascii="Times New Roman" w:eastAsia="Times New Roman" w:hAnsi="Times New Roman" w:cs="Times New Roman"/>
          <w:sz w:val="28"/>
        </w:rPr>
        <w:t xml:space="preserve"> realizar quaisquer dos serviços </w:t>
      </w:r>
      <w:r w:rsidR="00EA231C">
        <w:rPr>
          <w:rFonts w:ascii="Times New Roman" w:eastAsia="Times New Roman" w:hAnsi="Times New Roman" w:cs="Times New Roman"/>
          <w:sz w:val="28"/>
        </w:rPr>
        <w:t>antes</w:t>
      </w:r>
      <w:r w:rsidR="004F18D0" w:rsidRPr="004A5404">
        <w:rPr>
          <w:rFonts w:ascii="Times New Roman" w:eastAsia="Times New Roman" w:hAnsi="Times New Roman" w:cs="Times New Roman"/>
          <w:sz w:val="28"/>
        </w:rPr>
        <w:t xml:space="preserve"> elencados</w:t>
      </w:r>
      <w:r w:rsidR="00B737A4" w:rsidRPr="004A5404">
        <w:rPr>
          <w:rFonts w:ascii="Times New Roman" w:eastAsia="Times New Roman" w:hAnsi="Times New Roman" w:cs="Times New Roman"/>
          <w:sz w:val="28"/>
        </w:rPr>
        <w:t xml:space="preserve"> no curso da execução contratual</w:t>
      </w:r>
      <w:r w:rsidRPr="004A5404">
        <w:rPr>
          <w:rFonts w:ascii="Times New Roman" w:eastAsia="Times New Roman" w:hAnsi="Times New Roman" w:cs="Times New Roman"/>
          <w:sz w:val="28"/>
        </w:rPr>
        <w:t xml:space="preserve">, </w:t>
      </w:r>
      <w:r w:rsidR="004F18D0" w:rsidRPr="004A5404">
        <w:rPr>
          <w:rFonts w:ascii="Times New Roman" w:eastAsia="Times New Roman" w:hAnsi="Times New Roman" w:cs="Times New Roman"/>
          <w:sz w:val="28"/>
        </w:rPr>
        <w:t xml:space="preserve">por meio de aditivo, </w:t>
      </w:r>
      <w:r w:rsidR="00B737A4" w:rsidRPr="004A5404">
        <w:rPr>
          <w:rFonts w:ascii="Times New Roman" w:eastAsia="Times New Roman" w:hAnsi="Times New Roman" w:cs="Times New Roman"/>
          <w:sz w:val="28"/>
        </w:rPr>
        <w:t>deverá constar a necessária justificativa técnica, bem como ser anexado no processo SEI</w:t>
      </w:r>
      <w:r w:rsidRPr="004A5404">
        <w:rPr>
          <w:rFonts w:ascii="Times New Roman" w:eastAsia="Times New Roman" w:hAnsi="Times New Roman" w:cs="Times New Roman"/>
          <w:sz w:val="28"/>
        </w:rPr>
        <w:t xml:space="preserve"> </w:t>
      </w:r>
      <w:r w:rsidR="00B737A4" w:rsidRPr="004A5404">
        <w:rPr>
          <w:rFonts w:ascii="Times New Roman" w:eastAsia="Times New Roman" w:hAnsi="Times New Roman" w:cs="Times New Roman"/>
          <w:sz w:val="28"/>
        </w:rPr>
        <w:t>a composição dos</w:t>
      </w:r>
      <w:r w:rsidRPr="004A5404">
        <w:rPr>
          <w:rFonts w:ascii="Times New Roman" w:eastAsia="Times New Roman" w:hAnsi="Times New Roman" w:cs="Times New Roman"/>
          <w:sz w:val="28"/>
        </w:rPr>
        <w:t xml:space="preserve"> custo</w:t>
      </w:r>
      <w:r w:rsidR="00B737A4" w:rsidRPr="004A5404">
        <w:rPr>
          <w:rFonts w:ascii="Times New Roman" w:eastAsia="Times New Roman" w:hAnsi="Times New Roman" w:cs="Times New Roman"/>
          <w:sz w:val="28"/>
        </w:rPr>
        <w:t>s</w:t>
      </w:r>
      <w:r w:rsidRPr="004A5404">
        <w:rPr>
          <w:rFonts w:ascii="Times New Roman" w:eastAsia="Times New Roman" w:hAnsi="Times New Roman" w:cs="Times New Roman"/>
          <w:sz w:val="28"/>
        </w:rPr>
        <w:t xml:space="preserve"> unitários para cada um dos eventuais serviços, </w:t>
      </w:r>
      <w:r w:rsidR="00B737A4" w:rsidRPr="004A5404">
        <w:rPr>
          <w:rFonts w:ascii="Times New Roman" w:eastAsia="Times New Roman" w:hAnsi="Times New Roman" w:cs="Times New Roman"/>
          <w:sz w:val="28"/>
        </w:rPr>
        <w:t>para fins de fiscalização</w:t>
      </w:r>
      <w:r w:rsidRPr="004A5404">
        <w:rPr>
          <w:rFonts w:ascii="Times New Roman" w:eastAsia="Times New Roman" w:hAnsi="Times New Roman" w:cs="Times New Roman"/>
          <w:sz w:val="28"/>
        </w:rPr>
        <w:t xml:space="preserve"> desta Corte.</w:t>
      </w:r>
    </w:p>
    <w:p w:rsidR="004A5404" w:rsidRPr="00720A4B" w:rsidRDefault="004A5404" w:rsidP="004A5404">
      <w:pPr>
        <w:spacing w:before="0" w:line="276" w:lineRule="auto"/>
        <w:jc w:val="both"/>
        <w:rPr>
          <w:rFonts w:ascii="Times New Roman" w:eastAsia="Times New Roman" w:hAnsi="Times New Roman" w:cs="Times New Roman"/>
          <w:sz w:val="28"/>
        </w:rPr>
      </w:pPr>
    </w:p>
    <w:p w:rsidR="00285ED7" w:rsidRPr="00335787" w:rsidRDefault="00335787" w:rsidP="00285ED7">
      <w:pPr>
        <w:pStyle w:val="PargrafodaLista"/>
        <w:numPr>
          <w:ilvl w:val="0"/>
          <w:numId w:val="29"/>
        </w:numPr>
        <w:spacing w:before="0" w:line="276" w:lineRule="auto"/>
        <w:jc w:val="both"/>
        <w:rPr>
          <w:rFonts w:ascii="Times New Roman" w:eastAsia="Times New Roman" w:hAnsi="Times New Roman" w:cs="Times New Roman"/>
          <w:b/>
          <w:sz w:val="28"/>
        </w:rPr>
      </w:pPr>
      <w:r w:rsidRPr="00335787">
        <w:rPr>
          <w:rFonts w:ascii="Times New Roman" w:eastAsia="Times New Roman" w:hAnsi="Times New Roman" w:cs="Times New Roman"/>
          <w:b/>
          <w:sz w:val="28"/>
        </w:rPr>
        <w:t>I</w:t>
      </w:r>
      <w:r w:rsidR="00285ED7" w:rsidRPr="00335787">
        <w:rPr>
          <w:rFonts w:ascii="Times New Roman" w:eastAsia="Times New Roman" w:hAnsi="Times New Roman" w:cs="Times New Roman"/>
          <w:b/>
          <w:sz w:val="28"/>
        </w:rPr>
        <w:t>nfringências</w:t>
      </w:r>
      <w:r w:rsidR="00212AFB">
        <w:rPr>
          <w:rFonts w:ascii="Times New Roman" w:eastAsia="Times New Roman" w:hAnsi="Times New Roman" w:cs="Times New Roman"/>
          <w:b/>
          <w:sz w:val="28"/>
        </w:rPr>
        <w:t xml:space="preserve"> de natureza formal (itens 5.10</w:t>
      </w:r>
      <w:r w:rsidR="00285ED7" w:rsidRPr="00335787">
        <w:rPr>
          <w:rFonts w:ascii="Times New Roman" w:eastAsia="Times New Roman" w:hAnsi="Times New Roman" w:cs="Times New Roman"/>
          <w:b/>
          <w:sz w:val="28"/>
        </w:rPr>
        <w:t>)</w:t>
      </w:r>
    </w:p>
    <w:p w:rsidR="00BD6F8E" w:rsidRDefault="00BD6F8E" w:rsidP="00F22224">
      <w:pPr>
        <w:spacing w:before="0" w:line="276" w:lineRule="auto"/>
        <w:jc w:val="both"/>
        <w:rPr>
          <w:rFonts w:ascii="Times New Roman" w:eastAsia="Times New Roman" w:hAnsi="Times New Roman" w:cs="Times New Roman"/>
          <w:sz w:val="28"/>
        </w:rPr>
      </w:pPr>
    </w:p>
    <w:p w:rsidR="00C71D7F" w:rsidRDefault="00B31804" w:rsidP="00F22224">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Neste item</w:t>
      </w:r>
      <w:r w:rsidR="00A25542">
        <w:rPr>
          <w:rFonts w:ascii="Times New Roman" w:eastAsia="Times New Roman" w:hAnsi="Times New Roman" w:cs="Times New Roman"/>
          <w:sz w:val="28"/>
        </w:rPr>
        <w:t xml:space="preserve">, </w:t>
      </w:r>
      <w:r w:rsidR="00D219BA">
        <w:rPr>
          <w:rFonts w:ascii="Times New Roman" w:eastAsia="Times New Roman" w:hAnsi="Times New Roman" w:cs="Times New Roman"/>
          <w:sz w:val="28"/>
        </w:rPr>
        <w:t>em que pese a Origem tenha</w:t>
      </w:r>
      <w:r w:rsidR="00D219BA" w:rsidRPr="00D219BA">
        <w:rPr>
          <w:rFonts w:ascii="Times New Roman" w:eastAsia="Times New Roman" w:hAnsi="Times New Roman" w:cs="Times New Roman"/>
          <w:sz w:val="28"/>
        </w:rPr>
        <w:t xml:space="preserve"> publicado a nova versão dos Editais ainda com idêntica e equivocada redação para a Cláusula Décima - “Da Fiscalização e das responsabilidades das partes”</w:t>
      </w:r>
      <w:r w:rsidR="00D219BA">
        <w:rPr>
          <w:rFonts w:ascii="Times New Roman" w:eastAsia="Times New Roman" w:hAnsi="Times New Roman" w:cs="Times New Roman"/>
          <w:sz w:val="28"/>
        </w:rPr>
        <w:t>, ela</w:t>
      </w:r>
      <w:r>
        <w:rPr>
          <w:rFonts w:ascii="Times New Roman" w:eastAsia="Times New Roman" w:hAnsi="Times New Roman" w:cs="Times New Roman"/>
          <w:sz w:val="28"/>
        </w:rPr>
        <w:t xml:space="preserve"> admitiu o acerto do apontamento</w:t>
      </w:r>
      <w:r w:rsidR="00D219BA">
        <w:rPr>
          <w:rFonts w:ascii="Times New Roman" w:eastAsia="Times New Roman" w:hAnsi="Times New Roman" w:cs="Times New Roman"/>
          <w:sz w:val="28"/>
        </w:rPr>
        <w:t xml:space="preserve"> </w:t>
      </w:r>
      <w:r w:rsidR="00EA231C">
        <w:rPr>
          <w:rFonts w:ascii="Times New Roman" w:eastAsia="Times New Roman" w:hAnsi="Times New Roman" w:cs="Times New Roman"/>
          <w:sz w:val="28"/>
        </w:rPr>
        <w:t xml:space="preserve">da Auditoria </w:t>
      </w:r>
      <w:r w:rsidR="00D219BA">
        <w:rPr>
          <w:rFonts w:ascii="Times New Roman" w:eastAsia="Times New Roman" w:hAnsi="Times New Roman" w:cs="Times New Roman"/>
          <w:sz w:val="28"/>
        </w:rPr>
        <w:t xml:space="preserve">e </w:t>
      </w:r>
      <w:r w:rsidR="00BD6F8E">
        <w:rPr>
          <w:rFonts w:ascii="Times New Roman" w:eastAsia="Times New Roman" w:hAnsi="Times New Roman" w:cs="Times New Roman"/>
          <w:sz w:val="28"/>
        </w:rPr>
        <w:t>informou que ir</w:t>
      </w:r>
      <w:r w:rsidR="00F22224">
        <w:rPr>
          <w:rFonts w:ascii="Times New Roman" w:eastAsia="Times New Roman" w:hAnsi="Times New Roman" w:cs="Times New Roman"/>
          <w:sz w:val="28"/>
        </w:rPr>
        <w:t>ia</w:t>
      </w:r>
      <w:r w:rsidR="00C71D7F">
        <w:rPr>
          <w:rFonts w:ascii="Times New Roman" w:eastAsia="Times New Roman" w:hAnsi="Times New Roman" w:cs="Times New Roman"/>
          <w:sz w:val="28"/>
        </w:rPr>
        <w:t xml:space="preserve"> </w:t>
      </w:r>
      <w:r>
        <w:rPr>
          <w:rFonts w:ascii="Times New Roman" w:eastAsia="Times New Roman" w:hAnsi="Times New Roman" w:cs="Times New Roman"/>
          <w:sz w:val="28"/>
        </w:rPr>
        <w:t>providenciar a devida correção</w:t>
      </w:r>
      <w:r w:rsidR="00BD6F8E" w:rsidRPr="00BD6F8E">
        <w:rPr>
          <w:rFonts w:ascii="Times New Roman" w:eastAsia="Times New Roman" w:hAnsi="Times New Roman" w:cs="Times New Roman"/>
          <w:sz w:val="28"/>
        </w:rPr>
        <w:t xml:space="preserve"> </w:t>
      </w:r>
      <w:r w:rsidR="00BD6F8E">
        <w:rPr>
          <w:rFonts w:ascii="Times New Roman" w:eastAsia="Times New Roman" w:hAnsi="Times New Roman" w:cs="Times New Roman"/>
          <w:sz w:val="28"/>
        </w:rPr>
        <w:t>na minuta</w:t>
      </w:r>
      <w:r w:rsidR="00A4353E">
        <w:rPr>
          <w:rFonts w:ascii="Times New Roman" w:eastAsia="Times New Roman" w:hAnsi="Times New Roman" w:cs="Times New Roman"/>
          <w:sz w:val="28"/>
        </w:rPr>
        <w:t xml:space="preserve"> do contrato</w:t>
      </w:r>
      <w:r w:rsidR="00C71D7F">
        <w:rPr>
          <w:rFonts w:ascii="Times New Roman" w:eastAsia="Times New Roman" w:hAnsi="Times New Roman" w:cs="Times New Roman"/>
          <w:sz w:val="28"/>
        </w:rPr>
        <w:t xml:space="preserve"> na republicação do Edital.</w:t>
      </w:r>
    </w:p>
    <w:p w:rsidR="00F22224" w:rsidRDefault="00F22224" w:rsidP="00F22224">
      <w:pPr>
        <w:spacing w:before="0" w:line="276" w:lineRule="auto"/>
        <w:ind w:left="142" w:firstLine="1559"/>
        <w:jc w:val="both"/>
        <w:rPr>
          <w:rFonts w:ascii="Times New Roman" w:eastAsia="Times New Roman" w:hAnsi="Times New Roman" w:cs="Times New Roman"/>
          <w:sz w:val="28"/>
        </w:rPr>
      </w:pPr>
    </w:p>
    <w:p w:rsidR="00335787" w:rsidRDefault="00427D60" w:rsidP="00E40F0A">
      <w:pPr>
        <w:spacing w:before="0" w:line="276" w:lineRule="auto"/>
        <w:ind w:left="142" w:firstLine="1559"/>
        <w:jc w:val="both"/>
        <w:rPr>
          <w:rFonts w:ascii="Times New Roman" w:eastAsia="Times New Roman" w:hAnsi="Times New Roman" w:cs="Times New Roman"/>
          <w:sz w:val="28"/>
        </w:rPr>
      </w:pPr>
      <w:r w:rsidRPr="00E40F0A">
        <w:rPr>
          <w:rFonts w:ascii="Times New Roman" w:eastAsia="Times New Roman" w:hAnsi="Times New Roman" w:cs="Times New Roman"/>
          <w:sz w:val="28"/>
        </w:rPr>
        <w:t>Dessa maneira, uma vez que a Origem se comprometeu a realizar tal alteração</w:t>
      </w:r>
      <w:r w:rsidR="00D219BA" w:rsidRPr="00E40F0A">
        <w:rPr>
          <w:rFonts w:ascii="Times New Roman" w:eastAsia="Times New Roman" w:hAnsi="Times New Roman" w:cs="Times New Roman"/>
          <w:sz w:val="28"/>
        </w:rPr>
        <w:t xml:space="preserve">, </w:t>
      </w:r>
      <w:r w:rsidR="00F22224">
        <w:rPr>
          <w:rFonts w:ascii="Times New Roman" w:eastAsia="Times New Roman" w:hAnsi="Times New Roman" w:cs="Times New Roman"/>
          <w:sz w:val="28"/>
        </w:rPr>
        <w:t xml:space="preserve">a correção da redação </w:t>
      </w:r>
      <w:r w:rsidR="00B31804" w:rsidRPr="00E40F0A">
        <w:rPr>
          <w:rFonts w:ascii="Times New Roman" w:eastAsia="Times New Roman" w:hAnsi="Times New Roman" w:cs="Times New Roman"/>
          <w:sz w:val="28"/>
        </w:rPr>
        <w:t xml:space="preserve">será </w:t>
      </w:r>
      <w:r w:rsidR="00D219BA" w:rsidRPr="00E40F0A">
        <w:rPr>
          <w:rFonts w:ascii="Times New Roman" w:eastAsia="Times New Roman" w:hAnsi="Times New Roman" w:cs="Times New Roman"/>
          <w:sz w:val="28"/>
        </w:rPr>
        <w:t>objeto de determinação específica ao final deste despacho.</w:t>
      </w:r>
    </w:p>
    <w:p w:rsidR="00E40F0A" w:rsidRPr="00E40F0A" w:rsidRDefault="00E40F0A" w:rsidP="00E40F0A">
      <w:pPr>
        <w:spacing w:before="0" w:line="276" w:lineRule="auto"/>
        <w:ind w:left="142" w:firstLine="1559"/>
        <w:jc w:val="both"/>
        <w:rPr>
          <w:rFonts w:ascii="Times New Roman" w:eastAsia="Times New Roman" w:hAnsi="Times New Roman" w:cs="Times New Roman"/>
          <w:sz w:val="28"/>
        </w:rPr>
      </w:pPr>
    </w:p>
    <w:p w:rsidR="00285ED7" w:rsidRPr="00C87ACE" w:rsidRDefault="00335787" w:rsidP="00285ED7">
      <w:pPr>
        <w:pStyle w:val="PargrafodaLista"/>
        <w:numPr>
          <w:ilvl w:val="0"/>
          <w:numId w:val="29"/>
        </w:numPr>
        <w:spacing w:before="0" w:line="276" w:lineRule="auto"/>
        <w:jc w:val="both"/>
        <w:rPr>
          <w:rFonts w:ascii="Times New Roman" w:eastAsia="Times New Roman" w:hAnsi="Times New Roman" w:cs="Times New Roman"/>
          <w:b/>
          <w:sz w:val="28"/>
        </w:rPr>
      </w:pPr>
      <w:r w:rsidRPr="00C87ACE">
        <w:rPr>
          <w:rFonts w:ascii="Times New Roman" w:eastAsia="Times New Roman" w:hAnsi="Times New Roman" w:cs="Times New Roman"/>
          <w:b/>
          <w:sz w:val="28"/>
        </w:rPr>
        <w:t xml:space="preserve"> Avaliação de conformidade do projeto (5.14)</w:t>
      </w:r>
    </w:p>
    <w:p w:rsidR="00F46345" w:rsidRPr="00C87ACE" w:rsidRDefault="00F46345" w:rsidP="00E40F0A">
      <w:pPr>
        <w:spacing w:before="0" w:line="276" w:lineRule="auto"/>
        <w:ind w:left="1701"/>
        <w:jc w:val="both"/>
        <w:rPr>
          <w:rFonts w:ascii="Times New Roman" w:eastAsia="Times New Roman" w:hAnsi="Times New Roman" w:cs="Times New Roman"/>
          <w:b/>
          <w:sz w:val="28"/>
        </w:rPr>
      </w:pPr>
    </w:p>
    <w:p w:rsidR="00A4353E" w:rsidRDefault="00A4353E" w:rsidP="00A4353E">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Quanto a esse apontamento, a Origem esclareceu que, n</w:t>
      </w:r>
      <w:r w:rsidRPr="00A4353E">
        <w:rPr>
          <w:rFonts w:ascii="Times New Roman" w:eastAsia="Times New Roman" w:hAnsi="Times New Roman" w:cs="Times New Roman"/>
          <w:sz w:val="28"/>
        </w:rPr>
        <w:t xml:space="preserve">o caso </w:t>
      </w:r>
      <w:r w:rsidR="00CC0A97">
        <w:rPr>
          <w:rFonts w:ascii="Times New Roman" w:eastAsia="Times New Roman" w:hAnsi="Times New Roman" w:cs="Times New Roman"/>
          <w:sz w:val="28"/>
        </w:rPr>
        <w:t>concreto, a</w:t>
      </w:r>
      <w:r w:rsidR="0029145C">
        <w:rPr>
          <w:rFonts w:ascii="Times New Roman" w:eastAsia="Times New Roman" w:hAnsi="Times New Roman" w:cs="Times New Roman"/>
          <w:sz w:val="28"/>
        </w:rPr>
        <w:t xml:space="preserve"> SIURB transferiu à SPObras a </w:t>
      </w:r>
      <w:r w:rsidR="0029145C" w:rsidRPr="0029145C">
        <w:rPr>
          <w:rFonts w:ascii="Times New Roman" w:eastAsia="Times New Roman" w:hAnsi="Times New Roman" w:cs="Times New Roman"/>
          <w:sz w:val="28"/>
        </w:rPr>
        <w:t>Gestão do Programa de Obras de Arte Especiais</w:t>
      </w:r>
      <w:r w:rsidR="0029145C">
        <w:rPr>
          <w:rFonts w:ascii="Times New Roman" w:eastAsia="Times New Roman" w:hAnsi="Times New Roman" w:cs="Times New Roman"/>
          <w:sz w:val="28"/>
        </w:rPr>
        <w:t xml:space="preserve"> e consequentemente a obrigatoriedade de</w:t>
      </w:r>
      <w:r w:rsidRPr="00A4353E">
        <w:rPr>
          <w:rFonts w:ascii="Times New Roman" w:eastAsia="Times New Roman" w:hAnsi="Times New Roman" w:cs="Times New Roman"/>
          <w:sz w:val="28"/>
        </w:rPr>
        <w:t xml:space="preserve"> avaliação de conformidade relacionada ao subitem 5.3 da "ABNT NBR 6118— Projeto de Estrutu</w:t>
      </w:r>
      <w:r w:rsidR="00EA231C">
        <w:rPr>
          <w:rFonts w:ascii="Times New Roman" w:eastAsia="Times New Roman" w:hAnsi="Times New Roman" w:cs="Times New Roman"/>
          <w:sz w:val="28"/>
        </w:rPr>
        <w:t>ras de concreto - Procedimento"</w:t>
      </w:r>
      <w:r w:rsidRPr="00A4353E">
        <w:rPr>
          <w:rFonts w:ascii="Times New Roman" w:eastAsia="Times New Roman" w:hAnsi="Times New Roman" w:cs="Times New Roman"/>
          <w:sz w:val="28"/>
        </w:rPr>
        <w:t xml:space="preserve"> </w:t>
      </w:r>
      <w:r w:rsidR="00681379">
        <w:rPr>
          <w:rFonts w:ascii="Times New Roman" w:eastAsia="Times New Roman" w:hAnsi="Times New Roman" w:cs="Times New Roman"/>
          <w:sz w:val="28"/>
        </w:rPr>
        <w:t>seria</w:t>
      </w:r>
      <w:r w:rsidRPr="00A4353E">
        <w:rPr>
          <w:rFonts w:ascii="Times New Roman" w:eastAsia="Times New Roman" w:hAnsi="Times New Roman" w:cs="Times New Roman"/>
          <w:sz w:val="28"/>
        </w:rPr>
        <w:t xml:space="preserve"> feita por funcionários do corpo técnico</w:t>
      </w:r>
      <w:r w:rsidR="00681379">
        <w:rPr>
          <w:rFonts w:ascii="Times New Roman" w:eastAsia="Times New Roman" w:hAnsi="Times New Roman" w:cs="Times New Roman"/>
          <w:sz w:val="28"/>
        </w:rPr>
        <w:t xml:space="preserve"> da empresa</w:t>
      </w:r>
      <w:r w:rsidRPr="00A4353E">
        <w:rPr>
          <w:rFonts w:ascii="Times New Roman" w:eastAsia="Times New Roman" w:hAnsi="Times New Roman" w:cs="Times New Roman"/>
          <w:sz w:val="28"/>
        </w:rPr>
        <w:t>, conforme procedimentos internos, constituído por Engenheiros habilitados no CREA.</w:t>
      </w:r>
    </w:p>
    <w:p w:rsidR="00681379" w:rsidRDefault="00681379" w:rsidP="00A4353E">
      <w:pPr>
        <w:spacing w:before="0" w:line="276" w:lineRule="auto"/>
        <w:ind w:left="142" w:firstLine="1559"/>
        <w:jc w:val="both"/>
        <w:rPr>
          <w:rFonts w:ascii="Times New Roman" w:eastAsia="Times New Roman" w:hAnsi="Times New Roman" w:cs="Times New Roman"/>
          <w:sz w:val="28"/>
        </w:rPr>
      </w:pPr>
    </w:p>
    <w:p w:rsidR="00681379" w:rsidRDefault="00681379" w:rsidP="00681379">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Contudo, é necessário observar que o item </w:t>
      </w:r>
      <w:r w:rsidR="00B2344E">
        <w:rPr>
          <w:rFonts w:ascii="Times New Roman" w:eastAsia="Times New Roman" w:hAnsi="Times New Roman" w:cs="Times New Roman"/>
          <w:sz w:val="28"/>
        </w:rPr>
        <w:t>5.3.1</w:t>
      </w:r>
      <w:r>
        <w:rPr>
          <w:rFonts w:ascii="Times New Roman" w:eastAsia="Times New Roman" w:hAnsi="Times New Roman" w:cs="Times New Roman"/>
          <w:sz w:val="28"/>
        </w:rPr>
        <w:t xml:space="preserve"> da NBR 6118 é claro no sentido de que: “</w:t>
      </w:r>
      <w:r w:rsidRPr="00681379">
        <w:rPr>
          <w:rFonts w:ascii="Times New Roman" w:eastAsia="Times New Roman" w:hAnsi="Times New Roman" w:cs="Times New Roman"/>
          <w:i/>
          <w:sz w:val="28"/>
          <w:u w:val="single"/>
        </w:rPr>
        <w:t xml:space="preserve">a avaliação da conformidade do projeto deve ser realizada por profissional habilitado, </w:t>
      </w:r>
      <w:r w:rsidRPr="00EB0655">
        <w:rPr>
          <w:rFonts w:ascii="Times New Roman" w:eastAsia="Times New Roman" w:hAnsi="Times New Roman" w:cs="Times New Roman"/>
          <w:b/>
          <w:i/>
          <w:sz w:val="28"/>
          <w:u w:val="single"/>
        </w:rPr>
        <w:t>independente e diferente do projetista, requerida e contratada pelo contratante</w:t>
      </w:r>
      <w:r w:rsidRPr="00681379">
        <w:rPr>
          <w:rFonts w:ascii="Times New Roman" w:eastAsia="Times New Roman" w:hAnsi="Times New Roman" w:cs="Times New Roman"/>
          <w:i/>
          <w:sz w:val="28"/>
          <w:u w:val="single"/>
        </w:rPr>
        <w:t>, e registrada em documento</w:t>
      </w:r>
      <w:r>
        <w:rPr>
          <w:rFonts w:ascii="Times New Roman" w:eastAsia="Times New Roman" w:hAnsi="Times New Roman" w:cs="Times New Roman"/>
          <w:sz w:val="28"/>
        </w:rPr>
        <w:t>”.</w:t>
      </w:r>
    </w:p>
    <w:p w:rsidR="00681379" w:rsidRPr="00681379" w:rsidRDefault="00681379" w:rsidP="00681379">
      <w:pPr>
        <w:spacing w:before="0" w:line="276" w:lineRule="auto"/>
        <w:ind w:left="142" w:firstLine="1559"/>
        <w:jc w:val="both"/>
        <w:rPr>
          <w:rFonts w:ascii="Times New Roman" w:eastAsia="Times New Roman" w:hAnsi="Times New Roman" w:cs="Times New Roman"/>
          <w:sz w:val="28"/>
        </w:rPr>
      </w:pPr>
    </w:p>
    <w:p w:rsidR="00720A4B" w:rsidRDefault="00A4353E" w:rsidP="00B161C7">
      <w:pPr>
        <w:spacing w:before="0" w:line="276" w:lineRule="auto"/>
        <w:ind w:left="142" w:firstLine="1559"/>
        <w:jc w:val="both"/>
        <w:rPr>
          <w:rFonts w:ascii="Times New Roman" w:eastAsia="Times New Roman" w:hAnsi="Times New Roman" w:cs="Times New Roman"/>
          <w:sz w:val="28"/>
        </w:rPr>
      </w:pPr>
      <w:r w:rsidRPr="00B31804">
        <w:rPr>
          <w:rFonts w:ascii="Times New Roman" w:eastAsia="Times New Roman" w:hAnsi="Times New Roman" w:cs="Times New Roman"/>
          <w:sz w:val="28"/>
        </w:rPr>
        <w:t>Para que não subsistam dúvidas, esse tema será objeto de determinação ao final desse despacho, de forma a viabilizar a devida fiscalizaç</w:t>
      </w:r>
      <w:r w:rsidR="00A93655" w:rsidRPr="00B31804">
        <w:rPr>
          <w:rFonts w:ascii="Times New Roman" w:eastAsia="Times New Roman" w:hAnsi="Times New Roman" w:cs="Times New Roman"/>
          <w:sz w:val="28"/>
        </w:rPr>
        <w:t>ão.</w:t>
      </w:r>
    </w:p>
    <w:p w:rsidR="00720A4B" w:rsidRPr="00E40F0A" w:rsidRDefault="00720A4B" w:rsidP="00E40F0A">
      <w:pPr>
        <w:spacing w:before="0" w:line="276" w:lineRule="auto"/>
        <w:ind w:left="142" w:firstLine="1559"/>
        <w:jc w:val="both"/>
        <w:rPr>
          <w:rFonts w:ascii="Times New Roman" w:eastAsia="Times New Roman" w:hAnsi="Times New Roman" w:cs="Times New Roman"/>
          <w:sz w:val="28"/>
        </w:rPr>
      </w:pPr>
    </w:p>
    <w:p w:rsidR="00212AFB" w:rsidRPr="00335787" w:rsidRDefault="00212AFB" w:rsidP="00285ED7">
      <w:pPr>
        <w:pStyle w:val="PargrafodaLista"/>
        <w:numPr>
          <w:ilvl w:val="0"/>
          <w:numId w:val="29"/>
        </w:numPr>
        <w:spacing w:before="0" w:line="276"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ART´s dos responsáveis pelo orçamento e TR </w:t>
      </w:r>
      <w:r w:rsidRPr="00335787">
        <w:rPr>
          <w:rFonts w:ascii="Times New Roman" w:eastAsia="Times New Roman" w:hAnsi="Times New Roman" w:cs="Times New Roman"/>
          <w:b/>
          <w:sz w:val="28"/>
        </w:rPr>
        <w:t xml:space="preserve"> </w:t>
      </w:r>
      <w:r>
        <w:rPr>
          <w:rFonts w:ascii="Times New Roman" w:eastAsia="Times New Roman" w:hAnsi="Times New Roman" w:cs="Times New Roman"/>
          <w:b/>
          <w:sz w:val="28"/>
        </w:rPr>
        <w:t>(</w:t>
      </w:r>
      <w:r w:rsidRPr="00335787">
        <w:rPr>
          <w:rFonts w:ascii="Times New Roman" w:eastAsia="Times New Roman" w:hAnsi="Times New Roman" w:cs="Times New Roman"/>
          <w:b/>
          <w:sz w:val="28"/>
        </w:rPr>
        <w:t>5.15</w:t>
      </w:r>
      <w:r>
        <w:rPr>
          <w:rFonts w:ascii="Times New Roman" w:eastAsia="Times New Roman" w:hAnsi="Times New Roman" w:cs="Times New Roman"/>
          <w:b/>
          <w:sz w:val="28"/>
        </w:rPr>
        <w:t>)</w:t>
      </w:r>
    </w:p>
    <w:p w:rsidR="00285ED7" w:rsidRPr="00285ED7" w:rsidRDefault="00285ED7" w:rsidP="00E40F0A">
      <w:pPr>
        <w:spacing w:before="0" w:line="276" w:lineRule="auto"/>
        <w:jc w:val="both"/>
        <w:rPr>
          <w:rFonts w:ascii="Times New Roman" w:eastAsia="Times New Roman" w:hAnsi="Times New Roman" w:cs="Times New Roman"/>
          <w:sz w:val="28"/>
        </w:rPr>
      </w:pPr>
    </w:p>
    <w:p w:rsidR="00A93655" w:rsidRDefault="00A93655" w:rsidP="00596092">
      <w:pPr>
        <w:spacing w:before="0" w:line="276" w:lineRule="auto"/>
        <w:ind w:firstLine="1701"/>
        <w:jc w:val="both"/>
        <w:rPr>
          <w:rFonts w:ascii="Times New Roman" w:eastAsia="Times New Roman" w:hAnsi="Times New Roman" w:cs="Times New Roman"/>
          <w:sz w:val="28"/>
        </w:rPr>
      </w:pPr>
      <w:r>
        <w:rPr>
          <w:rFonts w:ascii="Times New Roman" w:eastAsia="Times New Roman" w:hAnsi="Times New Roman" w:cs="Times New Roman"/>
          <w:sz w:val="28"/>
        </w:rPr>
        <w:t>Sobre a necessidade de apresentação de ART´s dos responsáveis pela elaboração dos orçamentos e do Termo de Referência do certame, anotamos que o tema já tinha sido objeto de análise por parte dos técnicos, no âmbito do TC 11.064/2017</w:t>
      </w:r>
      <w:r w:rsidR="00B1732E">
        <w:rPr>
          <w:rStyle w:val="Refdenotaderodap"/>
          <w:rFonts w:ascii="Times New Roman" w:eastAsia="Times New Roman" w:hAnsi="Times New Roman" w:cs="Times New Roman"/>
          <w:sz w:val="28"/>
        </w:rPr>
        <w:footnoteReference w:id="9"/>
      </w:r>
      <w:r>
        <w:rPr>
          <w:rFonts w:ascii="Times New Roman" w:eastAsia="Times New Roman" w:hAnsi="Times New Roman" w:cs="Times New Roman"/>
          <w:sz w:val="28"/>
        </w:rPr>
        <w:t>, que cuidou do acompanhamento do edital anterior, para o mesmo objeto. Apesar da perda do seu objeto, considerando a revogação daquele edital, anoto que os argumentos trazidos àquela ocasião foram analisados e acolhidos pelos técnicos, nos seguintes termos:</w:t>
      </w:r>
    </w:p>
    <w:p w:rsidR="00A93655" w:rsidRDefault="00A93655" w:rsidP="00596092">
      <w:pPr>
        <w:spacing w:before="0" w:line="276" w:lineRule="auto"/>
        <w:ind w:left="142" w:firstLine="1559"/>
        <w:jc w:val="both"/>
        <w:rPr>
          <w:rFonts w:ascii="Times New Roman" w:eastAsia="Times New Roman" w:hAnsi="Times New Roman" w:cs="Times New Roman"/>
          <w:sz w:val="28"/>
        </w:rPr>
      </w:pPr>
    </w:p>
    <w:p w:rsidR="00A93655" w:rsidRPr="00596092" w:rsidRDefault="00596092" w:rsidP="00596092">
      <w:pPr>
        <w:spacing w:before="0" w:line="276" w:lineRule="auto"/>
        <w:ind w:left="1701"/>
        <w:jc w:val="both"/>
        <w:rPr>
          <w:i/>
        </w:rPr>
      </w:pPr>
      <w:r w:rsidRPr="00596092">
        <w:rPr>
          <w:i/>
        </w:rPr>
        <w:t>“A Lei Federal nº 11.768/08, no caput de seu art. 109, estabelece a obrigatoriedade de que os custos de obras e serviços realizados com recursos da União sejam referenciados às Tabelas do SINAPI. Já o §5º do mesmo artigo estabelece a obrigação de juntada de Anotação de Responsabilidade Técnica (ART) do profissional responsável pelo orçamento, bem como a declaração expressa de compatibilidade com o SINAPI. Entretanto, tais obrigações não se estendem ao Município de São Paulo por ausência de expressa previsão legal, não sendo a hipótese dos autos a utilização de recursos federais. Com base nos esclarecimentos trazidos por SIURB e tendo em vista o Parecer Consultivo da Procuradoria Geral do Município, considera-se superado o apontamento.”</w:t>
      </w:r>
    </w:p>
    <w:p w:rsidR="00A93655" w:rsidRPr="00285ED7" w:rsidRDefault="00A93655" w:rsidP="00596092">
      <w:pPr>
        <w:spacing w:before="0" w:line="276" w:lineRule="auto"/>
        <w:ind w:left="142" w:firstLine="1559"/>
        <w:jc w:val="both"/>
        <w:rPr>
          <w:rFonts w:ascii="Times New Roman" w:eastAsia="Times New Roman" w:hAnsi="Times New Roman" w:cs="Times New Roman"/>
          <w:sz w:val="28"/>
        </w:rPr>
      </w:pPr>
    </w:p>
    <w:p w:rsidR="00596092" w:rsidRDefault="00664D74" w:rsidP="00B1732E">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Constata-se, pois, que sobre </w:t>
      </w:r>
      <w:r w:rsidRPr="00664D74">
        <w:rPr>
          <w:rFonts w:ascii="Times New Roman" w:eastAsia="Times New Roman" w:hAnsi="Times New Roman" w:cs="Times New Roman"/>
          <w:sz w:val="28"/>
        </w:rPr>
        <w:t xml:space="preserve">a questão do recolhimento da ART’s </w:t>
      </w:r>
      <w:r>
        <w:rPr>
          <w:rFonts w:ascii="Times New Roman" w:eastAsia="Times New Roman" w:hAnsi="Times New Roman" w:cs="Times New Roman"/>
          <w:sz w:val="28"/>
        </w:rPr>
        <w:t>por agentes públicos não há, ainda,</w:t>
      </w:r>
      <w:r w:rsidRPr="00664D74">
        <w:rPr>
          <w:rFonts w:ascii="Times New Roman" w:eastAsia="Times New Roman" w:hAnsi="Times New Roman" w:cs="Times New Roman"/>
          <w:sz w:val="28"/>
        </w:rPr>
        <w:t xml:space="preserve"> um posicionamento claro e firme sobre o tema, em virtude entendimentos conflitantes</w:t>
      </w:r>
      <w:r w:rsidR="002254EB">
        <w:rPr>
          <w:rFonts w:ascii="Times New Roman" w:eastAsia="Times New Roman" w:hAnsi="Times New Roman" w:cs="Times New Roman"/>
          <w:sz w:val="28"/>
        </w:rPr>
        <w:t xml:space="preserve"> e ausência de manifestação em definitivo no âmbito dessa Corte</w:t>
      </w:r>
      <w:r w:rsidRPr="00664D74">
        <w:rPr>
          <w:rFonts w:ascii="Times New Roman" w:eastAsia="Times New Roman" w:hAnsi="Times New Roman" w:cs="Times New Roman"/>
          <w:sz w:val="28"/>
        </w:rPr>
        <w:t xml:space="preserve">, </w:t>
      </w:r>
      <w:r>
        <w:rPr>
          <w:rFonts w:ascii="Times New Roman" w:eastAsia="Times New Roman" w:hAnsi="Times New Roman" w:cs="Times New Roman"/>
          <w:sz w:val="28"/>
        </w:rPr>
        <w:t>conforme acima transcrito</w:t>
      </w:r>
      <w:r w:rsidRPr="00664D7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razão pela qual, </w:t>
      </w:r>
      <w:r w:rsidRPr="00664D74">
        <w:rPr>
          <w:rFonts w:ascii="Times New Roman" w:eastAsia="Times New Roman" w:hAnsi="Times New Roman" w:cs="Times New Roman"/>
          <w:sz w:val="28"/>
        </w:rPr>
        <w:t xml:space="preserve">ainda que eventualmente </w:t>
      </w:r>
      <w:r w:rsidR="00E40F0A">
        <w:rPr>
          <w:rFonts w:ascii="Times New Roman" w:eastAsia="Times New Roman" w:hAnsi="Times New Roman" w:cs="Times New Roman"/>
          <w:sz w:val="28"/>
        </w:rPr>
        <w:t>possa indicar</w:t>
      </w:r>
      <w:r w:rsidRPr="00664D74">
        <w:rPr>
          <w:rFonts w:ascii="Times New Roman" w:eastAsia="Times New Roman" w:hAnsi="Times New Roman" w:cs="Times New Roman"/>
          <w:sz w:val="28"/>
        </w:rPr>
        <w:t xml:space="preserve"> uma impropriedade, esse item não tem o condão, por si só, de obstar o prosseguimento do certame.</w:t>
      </w:r>
      <w:r>
        <w:t xml:space="preserve"> </w:t>
      </w:r>
    </w:p>
    <w:p w:rsidR="00596092" w:rsidRDefault="00596092" w:rsidP="00B1732E">
      <w:pPr>
        <w:spacing w:before="0" w:line="276" w:lineRule="auto"/>
        <w:ind w:left="142" w:firstLine="1559"/>
        <w:jc w:val="both"/>
        <w:rPr>
          <w:rFonts w:ascii="Times New Roman" w:eastAsia="Times New Roman" w:hAnsi="Times New Roman" w:cs="Times New Roman"/>
          <w:sz w:val="28"/>
        </w:rPr>
      </w:pPr>
    </w:p>
    <w:p w:rsidR="0094113B" w:rsidRDefault="00B737A4" w:rsidP="00B1732E">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Superado, portanto, o apontamento.</w:t>
      </w:r>
    </w:p>
    <w:p w:rsidR="00EC7FB8" w:rsidRDefault="00EC7FB8" w:rsidP="0033727D">
      <w:pPr>
        <w:spacing w:before="0" w:line="276" w:lineRule="auto"/>
        <w:jc w:val="both"/>
        <w:rPr>
          <w:rFonts w:ascii="Times New Roman" w:eastAsia="Times New Roman" w:hAnsi="Times New Roman" w:cs="Times New Roman"/>
          <w:sz w:val="28"/>
        </w:rPr>
      </w:pPr>
    </w:p>
    <w:p w:rsidR="004A5404" w:rsidRPr="004A5404" w:rsidRDefault="004A5404" w:rsidP="004A5404">
      <w:pPr>
        <w:pStyle w:val="PargrafodaLista"/>
        <w:spacing w:before="0" w:line="276" w:lineRule="auto"/>
        <w:ind w:left="2061"/>
        <w:jc w:val="both"/>
        <w:rPr>
          <w:rFonts w:ascii="Times New Roman" w:eastAsia="Times New Roman" w:hAnsi="Times New Roman" w:cs="Times New Roman"/>
          <w:sz w:val="28"/>
        </w:rPr>
      </w:pPr>
    </w:p>
    <w:p w:rsidR="00EC7FB8" w:rsidRPr="00A771E0" w:rsidRDefault="00826E6E" w:rsidP="00A771E0">
      <w:pPr>
        <w:pStyle w:val="PargrafodaLista"/>
        <w:numPr>
          <w:ilvl w:val="0"/>
          <w:numId w:val="29"/>
        </w:numPr>
        <w:spacing w:before="0" w:line="276"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w:t>
      </w:r>
      <w:r w:rsidRPr="00826E6E">
        <w:rPr>
          <w:rFonts w:ascii="Times New Roman" w:eastAsia="Times New Roman" w:hAnsi="Times New Roman" w:cs="Times New Roman"/>
          <w:b/>
          <w:sz w:val="28"/>
        </w:rPr>
        <w:t>Aplicabilidade da NBR 9452 a OAEs metálicas</w:t>
      </w:r>
      <w:r>
        <w:rPr>
          <w:rFonts w:ascii="Times New Roman" w:eastAsia="Times New Roman" w:hAnsi="Times New Roman" w:cs="Times New Roman"/>
          <w:b/>
          <w:sz w:val="28"/>
        </w:rPr>
        <w:t xml:space="preserve"> (5.16 TC 11.493/2019)</w:t>
      </w:r>
    </w:p>
    <w:p w:rsidR="00EC7FB8" w:rsidRDefault="00EC7FB8" w:rsidP="00A771E0">
      <w:pPr>
        <w:pStyle w:val="Default"/>
        <w:rPr>
          <w:rFonts w:ascii="Times New Roman" w:eastAsia="Times New Roman" w:hAnsi="Times New Roman" w:cs="Times New Roman"/>
          <w:color w:val="auto"/>
          <w:sz w:val="28"/>
        </w:rPr>
      </w:pPr>
    </w:p>
    <w:p w:rsidR="00EC7FB8" w:rsidRPr="00F47B29" w:rsidRDefault="00EC7FB8" w:rsidP="00A771E0">
      <w:pPr>
        <w:spacing w:before="0" w:line="276" w:lineRule="auto"/>
        <w:ind w:left="142" w:firstLine="1559"/>
        <w:jc w:val="both"/>
        <w:rPr>
          <w:rFonts w:ascii="Times New Roman" w:eastAsia="Times New Roman" w:hAnsi="Times New Roman" w:cs="Times New Roman"/>
          <w:sz w:val="28"/>
        </w:rPr>
      </w:pPr>
      <w:r w:rsidRPr="00F47B29">
        <w:rPr>
          <w:rFonts w:ascii="Times New Roman" w:eastAsia="Times New Roman" w:hAnsi="Times New Roman" w:cs="Times New Roman"/>
          <w:sz w:val="28"/>
        </w:rPr>
        <w:t>O item 2 do Termo de Referência estabelece que “As Inspeções Especiais/Vistorias deverão ser executadas conforme ‘ABNT NBR 9452 – Inspeção de pontes, viadutos e passarelas de Con</w:t>
      </w:r>
      <w:r w:rsidR="00B737A4" w:rsidRPr="00F47B29">
        <w:rPr>
          <w:rFonts w:ascii="Times New Roman" w:eastAsia="Times New Roman" w:hAnsi="Times New Roman" w:cs="Times New Roman"/>
          <w:sz w:val="28"/>
        </w:rPr>
        <w:t>creto – Procedimento’, vigente” (</w:t>
      </w:r>
      <w:r w:rsidRPr="00F47B29">
        <w:rPr>
          <w:rFonts w:ascii="Times New Roman" w:eastAsia="Times New Roman" w:hAnsi="Times New Roman" w:cs="Times New Roman"/>
          <w:sz w:val="28"/>
        </w:rPr>
        <w:t>Peç</w:t>
      </w:r>
      <w:r w:rsidR="00B737A4" w:rsidRPr="00F47B29">
        <w:rPr>
          <w:rFonts w:ascii="Times New Roman" w:eastAsia="Times New Roman" w:hAnsi="Times New Roman" w:cs="Times New Roman"/>
          <w:sz w:val="28"/>
        </w:rPr>
        <w:t>a 21, p. 171</w:t>
      </w:r>
      <w:r w:rsidRPr="00F47B29">
        <w:rPr>
          <w:rFonts w:ascii="Times New Roman" w:eastAsia="Times New Roman" w:hAnsi="Times New Roman" w:cs="Times New Roman"/>
          <w:sz w:val="28"/>
        </w:rPr>
        <w:t xml:space="preserve">). </w:t>
      </w:r>
    </w:p>
    <w:p w:rsidR="00EC7FB8" w:rsidRPr="00F47B29" w:rsidRDefault="00EC7FB8" w:rsidP="00EC7FB8">
      <w:pPr>
        <w:spacing w:before="0" w:line="276" w:lineRule="auto"/>
        <w:ind w:left="142" w:firstLine="1559"/>
        <w:jc w:val="both"/>
        <w:rPr>
          <w:rFonts w:ascii="Times New Roman" w:eastAsia="Times New Roman" w:hAnsi="Times New Roman" w:cs="Times New Roman"/>
          <w:sz w:val="28"/>
        </w:rPr>
      </w:pPr>
    </w:p>
    <w:p w:rsidR="00F47B29" w:rsidRPr="00F47B29" w:rsidRDefault="00F47B29" w:rsidP="00F47B29">
      <w:pPr>
        <w:spacing w:before="0" w:line="276" w:lineRule="auto"/>
        <w:ind w:left="142" w:firstLine="1559"/>
        <w:jc w:val="both"/>
        <w:rPr>
          <w:rFonts w:ascii="Times New Roman" w:eastAsia="Times New Roman" w:hAnsi="Times New Roman" w:cs="Times New Roman"/>
          <w:sz w:val="28"/>
        </w:rPr>
      </w:pPr>
      <w:r w:rsidRPr="00F47B29">
        <w:rPr>
          <w:rFonts w:ascii="Times New Roman" w:eastAsia="Times New Roman" w:hAnsi="Times New Roman" w:cs="Times New Roman"/>
          <w:sz w:val="28"/>
        </w:rPr>
        <w:t xml:space="preserve">No entanto, </w:t>
      </w:r>
      <w:r w:rsidR="00A728A7">
        <w:rPr>
          <w:rFonts w:ascii="Times New Roman" w:eastAsia="Times New Roman" w:hAnsi="Times New Roman" w:cs="Times New Roman"/>
          <w:sz w:val="28"/>
        </w:rPr>
        <w:t xml:space="preserve">alega a Auditoria que, </w:t>
      </w:r>
      <w:r w:rsidRPr="00F47B29">
        <w:rPr>
          <w:rFonts w:ascii="Times New Roman" w:eastAsia="Times New Roman" w:hAnsi="Times New Roman" w:cs="Times New Roman"/>
          <w:sz w:val="28"/>
        </w:rPr>
        <w:t>ainda que alguns componentes dos Viadutos Santa Ifigênia e Florêncio de Abreu sejam em concreto armado, as partes principais das estruturas de sustentação desses viadutos são metálicas, não sendo aplicável, portanto, a referida norma a estas OAEs</w:t>
      </w:r>
      <w:r w:rsidR="00A728A7">
        <w:rPr>
          <w:rFonts w:ascii="Times New Roman" w:eastAsia="Times New Roman" w:hAnsi="Times New Roman" w:cs="Times New Roman"/>
          <w:sz w:val="28"/>
        </w:rPr>
        <w:t>, na sua totalidade</w:t>
      </w:r>
      <w:r w:rsidRPr="00F47B29">
        <w:rPr>
          <w:rFonts w:ascii="Times New Roman" w:eastAsia="Times New Roman" w:hAnsi="Times New Roman" w:cs="Times New Roman"/>
          <w:sz w:val="28"/>
        </w:rPr>
        <w:t>.</w:t>
      </w:r>
    </w:p>
    <w:p w:rsidR="0010528E" w:rsidRPr="00F47B29" w:rsidRDefault="0010528E" w:rsidP="00A771E0">
      <w:pPr>
        <w:spacing w:before="0" w:line="276" w:lineRule="auto"/>
        <w:ind w:left="142" w:firstLine="1559"/>
        <w:jc w:val="both"/>
        <w:rPr>
          <w:rFonts w:ascii="Times New Roman" w:eastAsia="Times New Roman" w:hAnsi="Times New Roman" w:cs="Times New Roman"/>
          <w:sz w:val="28"/>
        </w:rPr>
      </w:pPr>
    </w:p>
    <w:p w:rsidR="00F47B29" w:rsidRPr="00F47B29" w:rsidRDefault="00F47B29" w:rsidP="00A771E0">
      <w:pPr>
        <w:spacing w:before="0" w:line="276" w:lineRule="auto"/>
        <w:ind w:left="142" w:firstLine="1559"/>
        <w:jc w:val="both"/>
        <w:rPr>
          <w:rFonts w:ascii="Times New Roman" w:eastAsia="Times New Roman" w:hAnsi="Times New Roman" w:cs="Times New Roman"/>
          <w:sz w:val="28"/>
        </w:rPr>
      </w:pPr>
      <w:r w:rsidRPr="00F47B29">
        <w:rPr>
          <w:rFonts w:ascii="Times New Roman" w:eastAsia="Times New Roman" w:hAnsi="Times New Roman" w:cs="Times New Roman"/>
          <w:sz w:val="28"/>
        </w:rPr>
        <w:t>A justificativa trazida pela Origem foi no sentido de que</w:t>
      </w:r>
      <w:r w:rsidR="0010528E" w:rsidRPr="00F47B29">
        <w:rPr>
          <w:rFonts w:ascii="Times New Roman" w:eastAsia="Times New Roman" w:hAnsi="Times New Roman" w:cs="Times New Roman"/>
          <w:sz w:val="28"/>
        </w:rPr>
        <w:t>, na ausência de normatização específica para inspeção periódica de OAEs de tipo misto, a utilização da NBR 9452 parece</w:t>
      </w:r>
      <w:r w:rsidRPr="00F47B29">
        <w:rPr>
          <w:rFonts w:ascii="Times New Roman" w:eastAsia="Times New Roman" w:hAnsi="Times New Roman" w:cs="Times New Roman"/>
          <w:sz w:val="28"/>
        </w:rPr>
        <w:t>u</w:t>
      </w:r>
      <w:r w:rsidR="0010528E" w:rsidRPr="00F47B29">
        <w:rPr>
          <w:rFonts w:ascii="Times New Roman" w:eastAsia="Times New Roman" w:hAnsi="Times New Roman" w:cs="Times New Roman"/>
          <w:sz w:val="28"/>
        </w:rPr>
        <w:t xml:space="preserve"> ser a melhor opção técnica, uma vez que em seu conteúdo, muito mais do que apresentar métodos específicos de ensaio, inspeção e reparo (não há determinação, por exemplo, de qual ensaio deve ser executado ou em que frequência, há frequência apenas para inspeção especial em si), define um programa de inspeção e registro de informações para acompanhamento da vida da OAE</w:t>
      </w:r>
      <w:r w:rsidR="00A728A7">
        <w:rPr>
          <w:rFonts w:ascii="Times New Roman" w:eastAsia="Times New Roman" w:hAnsi="Times New Roman" w:cs="Times New Roman"/>
          <w:sz w:val="28"/>
        </w:rPr>
        <w:t>s</w:t>
      </w:r>
      <w:r w:rsidR="0010528E" w:rsidRPr="00F47B29">
        <w:rPr>
          <w:rFonts w:ascii="Times New Roman" w:eastAsia="Times New Roman" w:hAnsi="Times New Roman" w:cs="Times New Roman"/>
          <w:sz w:val="28"/>
        </w:rPr>
        <w:t>, além de</w:t>
      </w:r>
      <w:r w:rsidR="00E40F0A">
        <w:rPr>
          <w:rFonts w:ascii="Times New Roman" w:eastAsia="Times New Roman" w:hAnsi="Times New Roman" w:cs="Times New Roman"/>
          <w:sz w:val="28"/>
        </w:rPr>
        <w:t xml:space="preserve"> uma metodologia para classificá</w:t>
      </w:r>
      <w:r w:rsidR="0010528E" w:rsidRPr="00F47B29">
        <w:rPr>
          <w:rFonts w:ascii="Times New Roman" w:eastAsia="Times New Roman" w:hAnsi="Times New Roman" w:cs="Times New Roman"/>
          <w:sz w:val="28"/>
        </w:rPr>
        <w:t xml:space="preserve">-la conforme notas estruturais, funcionais e de durabilidade. </w:t>
      </w:r>
    </w:p>
    <w:p w:rsidR="00A728A7" w:rsidRDefault="00A728A7" w:rsidP="0091595D">
      <w:pPr>
        <w:spacing w:before="0" w:line="276" w:lineRule="auto"/>
        <w:jc w:val="both"/>
        <w:rPr>
          <w:rFonts w:ascii="Times New Roman" w:eastAsia="Times New Roman" w:hAnsi="Times New Roman" w:cs="Times New Roman"/>
          <w:sz w:val="28"/>
        </w:rPr>
      </w:pPr>
    </w:p>
    <w:p w:rsidR="00A728A7" w:rsidRDefault="00A728A7" w:rsidP="00B31804">
      <w:pPr>
        <w:spacing w:before="0" w:line="276" w:lineRule="auto"/>
        <w:ind w:left="142" w:firstLine="1559"/>
        <w:jc w:val="both"/>
        <w:rPr>
          <w:rFonts w:ascii="Times New Roman" w:eastAsia="Times New Roman" w:hAnsi="Times New Roman" w:cs="Times New Roman"/>
          <w:sz w:val="28"/>
        </w:rPr>
      </w:pPr>
      <w:r w:rsidRPr="00B31804">
        <w:rPr>
          <w:rFonts w:ascii="Times New Roman" w:eastAsia="Times New Roman" w:hAnsi="Times New Roman" w:cs="Times New Roman"/>
          <w:sz w:val="28"/>
        </w:rPr>
        <w:lastRenderedPageBreak/>
        <w:t xml:space="preserve">Anoto, quanto às justificativas trazidas, que, considerando a inexistência </w:t>
      </w:r>
      <w:r w:rsidR="00B31804" w:rsidRPr="00B31804">
        <w:rPr>
          <w:rFonts w:ascii="Times New Roman" w:eastAsia="Times New Roman" w:hAnsi="Times New Roman" w:cs="Times New Roman"/>
          <w:sz w:val="28"/>
        </w:rPr>
        <w:t xml:space="preserve">de </w:t>
      </w:r>
      <w:r w:rsidRPr="00B31804">
        <w:rPr>
          <w:rFonts w:ascii="Times New Roman" w:eastAsia="Times New Roman" w:hAnsi="Times New Roman" w:cs="Times New Roman"/>
          <w:sz w:val="28"/>
        </w:rPr>
        <w:t>norma brasileira específica para inspeções de pontes e viadutos metálicos, a Origem comprom</w:t>
      </w:r>
      <w:r w:rsidR="00E40F0A">
        <w:rPr>
          <w:rFonts w:ascii="Times New Roman" w:eastAsia="Times New Roman" w:hAnsi="Times New Roman" w:cs="Times New Roman"/>
          <w:sz w:val="28"/>
        </w:rPr>
        <w:t xml:space="preserve">eteu-se a inserir nos Termos de </w:t>
      </w:r>
      <w:r w:rsidRPr="00B31804">
        <w:rPr>
          <w:rFonts w:ascii="Times New Roman" w:eastAsia="Times New Roman" w:hAnsi="Times New Roman" w:cs="Times New Roman"/>
          <w:sz w:val="28"/>
        </w:rPr>
        <w:t>Referência dos Editais as</w:t>
      </w:r>
      <w:r w:rsidR="00B31804" w:rsidRPr="00B31804">
        <w:rPr>
          <w:rFonts w:ascii="Times New Roman" w:eastAsia="Times New Roman" w:hAnsi="Times New Roman" w:cs="Times New Roman"/>
          <w:sz w:val="28"/>
        </w:rPr>
        <w:t xml:space="preserve"> referidas</w:t>
      </w:r>
      <w:r w:rsidRPr="00B31804">
        <w:rPr>
          <w:rFonts w:ascii="Times New Roman" w:eastAsia="Times New Roman" w:hAnsi="Times New Roman" w:cs="Times New Roman"/>
          <w:sz w:val="28"/>
        </w:rPr>
        <w:t xml:space="preserve"> normas </w:t>
      </w:r>
      <w:r w:rsidR="00B31804" w:rsidRPr="00B31804">
        <w:rPr>
          <w:rFonts w:ascii="Times New Roman" w:eastAsia="Times New Roman" w:hAnsi="Times New Roman" w:cs="Times New Roman"/>
          <w:sz w:val="28"/>
        </w:rPr>
        <w:t xml:space="preserve">(Peça 83, p. 32/33) </w:t>
      </w:r>
      <w:r w:rsidRPr="00B31804">
        <w:rPr>
          <w:rFonts w:ascii="Times New Roman" w:eastAsia="Times New Roman" w:hAnsi="Times New Roman" w:cs="Times New Roman"/>
          <w:sz w:val="28"/>
        </w:rPr>
        <w:t xml:space="preserve">para utilização nas OAE's do tipo mista, </w:t>
      </w:r>
      <w:r w:rsidR="00B31804" w:rsidRPr="00B31804">
        <w:rPr>
          <w:rFonts w:ascii="Times New Roman" w:eastAsia="Times New Roman" w:hAnsi="Times New Roman" w:cs="Times New Roman"/>
          <w:sz w:val="28"/>
        </w:rPr>
        <w:t xml:space="preserve">razão pela qual, </w:t>
      </w:r>
      <w:r w:rsidRPr="00B31804">
        <w:rPr>
          <w:rFonts w:ascii="Times New Roman" w:eastAsia="Times New Roman" w:hAnsi="Times New Roman" w:cs="Times New Roman"/>
          <w:sz w:val="28"/>
        </w:rPr>
        <w:t>entendo como superado o apontamento, conforme determinação ao final</w:t>
      </w:r>
      <w:r w:rsidR="00B31804" w:rsidRPr="00B31804">
        <w:rPr>
          <w:rFonts w:ascii="Times New Roman" w:eastAsia="Times New Roman" w:hAnsi="Times New Roman" w:cs="Times New Roman"/>
          <w:sz w:val="28"/>
        </w:rPr>
        <w:t>.</w:t>
      </w:r>
      <w:r w:rsidRPr="00B31804">
        <w:rPr>
          <w:rFonts w:ascii="Times New Roman" w:eastAsia="Times New Roman" w:hAnsi="Times New Roman" w:cs="Times New Roman"/>
          <w:sz w:val="28"/>
        </w:rPr>
        <w:t xml:space="preserve"> </w:t>
      </w:r>
    </w:p>
    <w:p w:rsidR="0094113B" w:rsidRDefault="0094113B" w:rsidP="00B3511E">
      <w:pPr>
        <w:spacing w:before="0" w:line="276" w:lineRule="auto"/>
        <w:ind w:left="142" w:firstLine="1559"/>
        <w:jc w:val="both"/>
        <w:rPr>
          <w:rFonts w:ascii="Times New Roman" w:eastAsia="Times New Roman" w:hAnsi="Times New Roman" w:cs="Times New Roman"/>
          <w:sz w:val="28"/>
        </w:rPr>
      </w:pPr>
    </w:p>
    <w:p w:rsidR="009041DC" w:rsidRDefault="009041DC" w:rsidP="009041DC">
      <w:pPr>
        <w:pStyle w:val="Default"/>
        <w:ind w:left="2061"/>
      </w:pPr>
    </w:p>
    <w:p w:rsidR="004A5404" w:rsidRPr="004A5404" w:rsidRDefault="004A5404" w:rsidP="004A5404">
      <w:pPr>
        <w:pStyle w:val="PargrafodaLista"/>
        <w:spacing w:before="0" w:line="276" w:lineRule="auto"/>
        <w:ind w:left="2061"/>
        <w:jc w:val="both"/>
        <w:rPr>
          <w:rFonts w:ascii="Times New Roman" w:eastAsia="Times New Roman" w:hAnsi="Times New Roman" w:cs="Times New Roman"/>
          <w:sz w:val="28"/>
        </w:rPr>
      </w:pPr>
    </w:p>
    <w:p w:rsidR="009041DC" w:rsidRPr="004A5404" w:rsidRDefault="009041DC" w:rsidP="00720A4B">
      <w:pPr>
        <w:pStyle w:val="PargrafodaLista"/>
        <w:numPr>
          <w:ilvl w:val="0"/>
          <w:numId w:val="29"/>
        </w:numPr>
        <w:spacing w:before="0" w:line="276" w:lineRule="auto"/>
        <w:jc w:val="both"/>
        <w:rPr>
          <w:rFonts w:ascii="Times New Roman" w:eastAsia="Times New Roman" w:hAnsi="Times New Roman" w:cs="Times New Roman"/>
          <w:sz w:val="28"/>
        </w:rPr>
      </w:pPr>
      <w:r w:rsidRPr="00E231DA">
        <w:rPr>
          <w:rFonts w:ascii="Times New Roman" w:eastAsia="Times New Roman" w:hAnsi="Times New Roman" w:cs="Times New Roman"/>
          <w:b/>
          <w:sz w:val="28"/>
        </w:rPr>
        <w:t xml:space="preserve">Das competências da SIURB </w:t>
      </w:r>
      <w:r w:rsidR="00826E6E" w:rsidRPr="00E231DA">
        <w:rPr>
          <w:rFonts w:ascii="Times New Roman" w:eastAsia="Times New Roman" w:hAnsi="Times New Roman" w:cs="Times New Roman"/>
          <w:b/>
          <w:sz w:val="28"/>
        </w:rPr>
        <w:t>e a manutenção das passarelas (item 5.17 do TC 11.493/2019)</w:t>
      </w:r>
    </w:p>
    <w:p w:rsidR="004A5404" w:rsidRDefault="004A5404" w:rsidP="004A5404">
      <w:pPr>
        <w:pStyle w:val="PargrafodaLista"/>
        <w:spacing w:before="0" w:line="276" w:lineRule="auto"/>
        <w:ind w:left="2061"/>
        <w:jc w:val="both"/>
        <w:rPr>
          <w:rFonts w:ascii="Times New Roman" w:eastAsia="Times New Roman" w:hAnsi="Times New Roman" w:cs="Times New Roman"/>
          <w:sz w:val="28"/>
        </w:rPr>
      </w:pPr>
    </w:p>
    <w:p w:rsidR="004A5404" w:rsidRPr="004A5404" w:rsidRDefault="004A5404" w:rsidP="004A5404">
      <w:pPr>
        <w:pStyle w:val="PargrafodaLista"/>
        <w:spacing w:before="0" w:line="276" w:lineRule="auto"/>
        <w:ind w:left="2061"/>
        <w:jc w:val="both"/>
        <w:rPr>
          <w:rFonts w:ascii="Times New Roman" w:eastAsia="Times New Roman" w:hAnsi="Times New Roman" w:cs="Times New Roman"/>
          <w:sz w:val="28"/>
        </w:rPr>
      </w:pPr>
    </w:p>
    <w:p w:rsidR="00B31804" w:rsidRDefault="00B31804" w:rsidP="00B31804">
      <w:pPr>
        <w:spacing w:before="0" w:line="276" w:lineRule="auto"/>
        <w:ind w:left="142" w:firstLine="1559"/>
        <w:jc w:val="both"/>
        <w:rPr>
          <w:rFonts w:ascii="Times New Roman" w:eastAsia="Times New Roman" w:hAnsi="Times New Roman" w:cs="Times New Roman"/>
          <w:sz w:val="28"/>
        </w:rPr>
      </w:pPr>
      <w:r w:rsidRPr="00720A4B">
        <w:rPr>
          <w:rFonts w:ascii="Times New Roman" w:eastAsia="Times New Roman" w:hAnsi="Times New Roman" w:cs="Times New Roman"/>
          <w:sz w:val="28"/>
        </w:rPr>
        <w:t>Sobre este item, justi</w:t>
      </w:r>
      <w:r>
        <w:rPr>
          <w:rFonts w:ascii="Times New Roman" w:eastAsia="Times New Roman" w:hAnsi="Times New Roman" w:cs="Times New Roman"/>
          <w:sz w:val="28"/>
        </w:rPr>
        <w:t xml:space="preserve">ficou a origem que a </w:t>
      </w:r>
      <w:r w:rsidR="009041DC" w:rsidRPr="00B31804">
        <w:rPr>
          <w:rFonts w:ascii="Times New Roman" w:eastAsia="Times New Roman" w:hAnsi="Times New Roman" w:cs="Times New Roman"/>
          <w:sz w:val="28"/>
        </w:rPr>
        <w:t>cidade de São Paulo deve buscar ferramentas que forneçam suporte e parâmetros técnicos sobre a OAE, inclusive seus pontos críticos, possibilitando análises mais aprofundadas, com proposição de soluções preventivas, corretivas e/ou mitigadoras, além de prever a possibilidade do surgimento de possíveis problemas futuros e gerenciar, através de indicadores, situações onde haja expectativa de falha</w:t>
      </w:r>
      <w:r w:rsidR="00E40F0A">
        <w:rPr>
          <w:rFonts w:ascii="Times New Roman" w:eastAsia="Times New Roman" w:hAnsi="Times New Roman" w:cs="Times New Roman"/>
          <w:sz w:val="28"/>
        </w:rPr>
        <w:t>,</w:t>
      </w:r>
      <w:r w:rsidR="009041DC" w:rsidRPr="00B31804">
        <w:rPr>
          <w:rFonts w:ascii="Times New Roman" w:eastAsia="Times New Roman" w:hAnsi="Times New Roman" w:cs="Times New Roman"/>
          <w:sz w:val="28"/>
        </w:rPr>
        <w:t xml:space="preserve"> e programar-se para uma intervenção em oportunidade mais apropriada, sem acarretar em prejuízos à população. </w:t>
      </w:r>
      <w:r>
        <w:rPr>
          <w:rFonts w:ascii="Times New Roman" w:eastAsia="Times New Roman" w:hAnsi="Times New Roman" w:cs="Times New Roman"/>
          <w:sz w:val="28"/>
        </w:rPr>
        <w:t xml:space="preserve">Nesses termos, </w:t>
      </w:r>
      <w:r w:rsidR="009041DC" w:rsidRPr="00B31804">
        <w:rPr>
          <w:rFonts w:ascii="Times New Roman" w:eastAsia="Times New Roman" w:hAnsi="Times New Roman" w:cs="Times New Roman"/>
          <w:sz w:val="28"/>
        </w:rPr>
        <w:t xml:space="preserve">haja vista a necessidade de padronização das ações da Municipalidade, </w:t>
      </w:r>
      <w:r>
        <w:rPr>
          <w:rFonts w:ascii="Times New Roman" w:eastAsia="Times New Roman" w:hAnsi="Times New Roman" w:cs="Times New Roman"/>
          <w:sz w:val="28"/>
        </w:rPr>
        <w:t>entendeu</w:t>
      </w:r>
      <w:r w:rsidR="009041DC" w:rsidRPr="00B31804">
        <w:rPr>
          <w:rFonts w:ascii="Times New Roman" w:eastAsia="Times New Roman" w:hAnsi="Times New Roman" w:cs="Times New Roman"/>
          <w:sz w:val="28"/>
        </w:rPr>
        <w:t xml:space="preserve"> temerário excluir da respectiva análise</w:t>
      </w:r>
      <w:r>
        <w:rPr>
          <w:rFonts w:ascii="Times New Roman" w:eastAsia="Times New Roman" w:hAnsi="Times New Roman" w:cs="Times New Roman"/>
          <w:sz w:val="28"/>
        </w:rPr>
        <w:t xml:space="preserve"> a Passarela Ciccillo Matarazzo.</w:t>
      </w:r>
    </w:p>
    <w:p w:rsidR="00B31804" w:rsidRDefault="00B31804" w:rsidP="00B31804">
      <w:pPr>
        <w:spacing w:before="0" w:line="276" w:lineRule="auto"/>
        <w:ind w:left="142" w:firstLine="1559"/>
        <w:jc w:val="both"/>
        <w:rPr>
          <w:rFonts w:ascii="Times New Roman" w:eastAsia="Times New Roman" w:hAnsi="Times New Roman" w:cs="Times New Roman"/>
          <w:sz w:val="28"/>
        </w:rPr>
      </w:pPr>
    </w:p>
    <w:p w:rsidR="00343D24" w:rsidRDefault="00720A4B" w:rsidP="00343D24">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Acolho as justificativas apresentadas considerando</w:t>
      </w:r>
      <w:r w:rsidR="00D8611D">
        <w:rPr>
          <w:rFonts w:ascii="Times New Roman" w:eastAsia="Times New Roman" w:hAnsi="Times New Roman" w:cs="Times New Roman"/>
          <w:sz w:val="28"/>
        </w:rPr>
        <w:t xml:space="preserve"> que</w:t>
      </w:r>
      <w:r w:rsidR="00864605">
        <w:rPr>
          <w:rFonts w:ascii="Times New Roman" w:eastAsia="Times New Roman" w:hAnsi="Times New Roman" w:cs="Times New Roman"/>
          <w:sz w:val="28"/>
        </w:rPr>
        <w:t xml:space="preserve">: </w:t>
      </w:r>
      <w:r w:rsidR="00D04A73">
        <w:rPr>
          <w:rFonts w:ascii="Times New Roman" w:eastAsia="Times New Roman" w:hAnsi="Times New Roman" w:cs="Times New Roman"/>
          <w:sz w:val="28"/>
        </w:rPr>
        <w:t xml:space="preserve">a </w:t>
      </w:r>
      <w:r w:rsidR="008D5832">
        <w:rPr>
          <w:rFonts w:ascii="Times New Roman" w:eastAsia="Times New Roman" w:hAnsi="Times New Roman" w:cs="Times New Roman"/>
          <w:sz w:val="28"/>
        </w:rPr>
        <w:t>m</w:t>
      </w:r>
      <w:r w:rsidR="00D04A73">
        <w:rPr>
          <w:rFonts w:ascii="Times New Roman" w:eastAsia="Times New Roman" w:hAnsi="Times New Roman" w:cs="Times New Roman"/>
          <w:sz w:val="28"/>
        </w:rPr>
        <w:t>anutenção das OAEs</w:t>
      </w:r>
      <w:r w:rsidR="00D8611D">
        <w:rPr>
          <w:rFonts w:ascii="Times New Roman" w:eastAsia="Times New Roman" w:hAnsi="Times New Roman" w:cs="Times New Roman"/>
          <w:sz w:val="28"/>
        </w:rPr>
        <w:t xml:space="preserve"> da Cidade de São Paulo </w:t>
      </w:r>
      <w:r w:rsidR="00651F44">
        <w:rPr>
          <w:rFonts w:ascii="Times New Roman" w:eastAsia="Times New Roman" w:hAnsi="Times New Roman" w:cs="Times New Roman"/>
          <w:sz w:val="28"/>
        </w:rPr>
        <w:t>trata-se de</w:t>
      </w:r>
      <w:r w:rsidR="00D04A73">
        <w:rPr>
          <w:rFonts w:ascii="Times New Roman" w:eastAsia="Times New Roman" w:hAnsi="Times New Roman" w:cs="Times New Roman"/>
          <w:sz w:val="28"/>
        </w:rPr>
        <w:t xml:space="preserve"> um </w:t>
      </w:r>
      <w:r w:rsidR="00D04A73" w:rsidRPr="008D5832">
        <w:rPr>
          <w:rFonts w:ascii="Times New Roman" w:eastAsia="Times New Roman" w:hAnsi="Times New Roman" w:cs="Times New Roman"/>
          <w:b/>
          <w:sz w:val="28"/>
        </w:rPr>
        <w:t>Programa</w:t>
      </w:r>
      <w:r w:rsidR="008D5832">
        <w:rPr>
          <w:rFonts w:ascii="Times New Roman" w:eastAsia="Times New Roman" w:hAnsi="Times New Roman" w:cs="Times New Roman"/>
          <w:b/>
          <w:sz w:val="28"/>
        </w:rPr>
        <w:t xml:space="preserve"> de Gestão</w:t>
      </w:r>
      <w:r w:rsidR="00D04A73">
        <w:rPr>
          <w:rFonts w:ascii="Times New Roman" w:eastAsia="Times New Roman" w:hAnsi="Times New Roman" w:cs="Times New Roman"/>
          <w:sz w:val="28"/>
        </w:rPr>
        <w:t xml:space="preserve"> e</w:t>
      </w:r>
      <w:r>
        <w:rPr>
          <w:rFonts w:ascii="Times New Roman" w:eastAsia="Times New Roman" w:hAnsi="Times New Roman" w:cs="Times New Roman"/>
          <w:sz w:val="28"/>
        </w:rPr>
        <w:t>,</w:t>
      </w:r>
      <w:r w:rsidR="00876E83">
        <w:rPr>
          <w:rFonts w:ascii="Times New Roman" w:eastAsia="Times New Roman" w:hAnsi="Times New Roman" w:cs="Times New Roman"/>
          <w:sz w:val="28"/>
        </w:rPr>
        <w:t xml:space="preserve"> portanto, deve ser executado</w:t>
      </w:r>
      <w:r w:rsidR="00864605">
        <w:rPr>
          <w:rFonts w:ascii="Times New Roman" w:eastAsia="Times New Roman" w:hAnsi="Times New Roman" w:cs="Times New Roman"/>
          <w:sz w:val="28"/>
        </w:rPr>
        <w:t xml:space="preserve"> de modo</w:t>
      </w:r>
      <w:r w:rsidR="00876E83">
        <w:rPr>
          <w:rFonts w:ascii="Times New Roman" w:eastAsia="Times New Roman" w:hAnsi="Times New Roman" w:cs="Times New Roman"/>
          <w:sz w:val="28"/>
        </w:rPr>
        <w:t xml:space="preserve"> padronizado</w:t>
      </w:r>
      <w:r w:rsidR="009625D7">
        <w:rPr>
          <w:rFonts w:ascii="Times New Roman" w:eastAsia="Times New Roman" w:hAnsi="Times New Roman" w:cs="Times New Roman"/>
          <w:sz w:val="28"/>
        </w:rPr>
        <w:t xml:space="preserve"> para todo o Município</w:t>
      </w:r>
      <w:r w:rsidR="00651F44">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D04A73">
        <w:rPr>
          <w:rFonts w:ascii="Times New Roman" w:eastAsia="Times New Roman" w:hAnsi="Times New Roman" w:cs="Times New Roman"/>
          <w:sz w:val="28"/>
        </w:rPr>
        <w:t>a</w:t>
      </w:r>
      <w:r>
        <w:rPr>
          <w:rFonts w:ascii="Times New Roman" w:eastAsia="Times New Roman" w:hAnsi="Times New Roman" w:cs="Times New Roman"/>
          <w:sz w:val="28"/>
        </w:rPr>
        <w:t xml:space="preserve"> </w:t>
      </w:r>
      <w:r w:rsidR="00343D24">
        <w:rPr>
          <w:rFonts w:ascii="Times New Roman" w:eastAsia="Times New Roman" w:hAnsi="Times New Roman" w:cs="Times New Roman"/>
          <w:sz w:val="28"/>
        </w:rPr>
        <w:t>autorização contida na Lei nº 16.974/2018, que, em seu art. 17, declara:</w:t>
      </w:r>
    </w:p>
    <w:p w:rsidR="00343D24" w:rsidRDefault="00343D24" w:rsidP="00343D24">
      <w:pPr>
        <w:spacing w:before="0" w:line="276" w:lineRule="auto"/>
        <w:ind w:left="142" w:firstLine="1559"/>
        <w:jc w:val="both"/>
        <w:rPr>
          <w:rFonts w:ascii="Times New Roman" w:eastAsia="Times New Roman" w:hAnsi="Times New Roman" w:cs="Times New Roman"/>
          <w:sz w:val="28"/>
        </w:rPr>
      </w:pPr>
    </w:p>
    <w:p w:rsidR="00343D24" w:rsidRPr="0033727D" w:rsidRDefault="00343D24" w:rsidP="0033727D">
      <w:pPr>
        <w:spacing w:before="0" w:line="276" w:lineRule="auto"/>
        <w:ind w:left="1701"/>
        <w:jc w:val="both"/>
        <w:rPr>
          <w:i/>
        </w:rPr>
      </w:pPr>
      <w:r w:rsidRPr="0033727D">
        <w:rPr>
          <w:i/>
        </w:rPr>
        <w:t xml:space="preserve">Art. 17. A Secretaria Municipal de Infraestrutura Urbana e Obras – SIURB tem por finalidade, no âmbito municipal, formular, aprovar, gerir, normatizar e fiscalizar a execução de programas, projetos e sistemas relativos à execução de projetos completos de obras e serviços de engenharia de infraestrutura urbana, bem como </w:t>
      </w:r>
      <w:r w:rsidRPr="0033727D">
        <w:rPr>
          <w:i/>
        </w:rPr>
        <w:lastRenderedPageBreak/>
        <w:t xml:space="preserve">orientar e gerir </w:t>
      </w:r>
      <w:r w:rsidRPr="00880917">
        <w:rPr>
          <w:b/>
          <w:i/>
        </w:rPr>
        <w:t>a execução de programas e projetos para a</w:t>
      </w:r>
      <w:r w:rsidRPr="0033727D">
        <w:rPr>
          <w:i/>
        </w:rPr>
        <w:t xml:space="preserve"> construção, </w:t>
      </w:r>
      <w:r w:rsidRPr="00880917">
        <w:rPr>
          <w:b/>
          <w:i/>
        </w:rPr>
        <w:t>manutenção</w:t>
      </w:r>
      <w:r w:rsidRPr="0033727D">
        <w:rPr>
          <w:i/>
        </w:rPr>
        <w:t xml:space="preserve"> e reforma de edifícios e </w:t>
      </w:r>
      <w:r w:rsidRPr="00880917">
        <w:rPr>
          <w:b/>
          <w:i/>
        </w:rPr>
        <w:t>equipamentos públicos</w:t>
      </w:r>
      <w:r w:rsidRPr="0033727D">
        <w:rPr>
          <w:i/>
        </w:rPr>
        <w:t>, demandadas pelos órgãos da Administração Pública Municipal, e executar atividades compatíveis e correlatas com a sua área de atuação.</w:t>
      </w:r>
    </w:p>
    <w:p w:rsidR="00343D24" w:rsidRPr="0033727D" w:rsidRDefault="00343D24" w:rsidP="0033727D">
      <w:pPr>
        <w:spacing w:before="0" w:line="276" w:lineRule="auto"/>
        <w:jc w:val="both"/>
        <w:rPr>
          <w:rFonts w:ascii="Times New Roman" w:eastAsia="Times New Roman" w:hAnsi="Times New Roman" w:cs="Times New Roman"/>
          <w:sz w:val="28"/>
        </w:rPr>
      </w:pPr>
    </w:p>
    <w:p w:rsidR="00F47AFD" w:rsidRDefault="00720A4B" w:rsidP="00720A4B">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Ademais, o</w:t>
      </w:r>
      <w:r w:rsidR="00343D24">
        <w:rPr>
          <w:rFonts w:ascii="Times New Roman" w:eastAsia="Times New Roman" w:hAnsi="Times New Roman" w:cs="Times New Roman"/>
          <w:sz w:val="28"/>
        </w:rPr>
        <w:t xml:space="preserve">s Decretos mencionados pela </w:t>
      </w:r>
      <w:r w:rsidR="008D00D9">
        <w:rPr>
          <w:rFonts w:ascii="Times New Roman" w:eastAsia="Times New Roman" w:hAnsi="Times New Roman" w:cs="Times New Roman"/>
          <w:sz w:val="28"/>
        </w:rPr>
        <w:t>Origem</w:t>
      </w:r>
      <w:r w:rsidR="00343D24">
        <w:rPr>
          <w:rFonts w:ascii="Times New Roman" w:eastAsia="Times New Roman" w:hAnsi="Times New Roman" w:cs="Times New Roman"/>
          <w:sz w:val="28"/>
        </w:rPr>
        <w:t xml:space="preserve"> (55.528/2014 e 57.507/2016)</w:t>
      </w:r>
      <w:r w:rsidR="005F4E3A">
        <w:rPr>
          <w:rFonts w:ascii="Times New Roman" w:eastAsia="Times New Roman" w:hAnsi="Times New Roman" w:cs="Times New Roman"/>
          <w:sz w:val="28"/>
        </w:rPr>
        <w:t>,</w:t>
      </w:r>
      <w:r w:rsidR="008F5E64">
        <w:rPr>
          <w:rFonts w:ascii="Times New Roman" w:eastAsia="Times New Roman" w:hAnsi="Times New Roman" w:cs="Times New Roman"/>
          <w:sz w:val="28"/>
        </w:rPr>
        <w:t xml:space="preserve"> os quais autorizavam</w:t>
      </w:r>
      <w:r w:rsidR="008F5E64" w:rsidRPr="008F5E64">
        <w:rPr>
          <w:rFonts w:ascii="Times New Roman" w:eastAsia="Times New Roman" w:hAnsi="Times New Roman" w:cs="Times New Roman"/>
          <w:i/>
          <w:sz w:val="28"/>
        </w:rPr>
        <w:t xml:space="preserve">, em caráter excepcional, a gestão e a execução, pela Secretaria Municipal de Coordenação das Subprefeituras, concorrentemente com as Subprefeituras, dos serviços que especifica, relativamente </w:t>
      </w:r>
      <w:r w:rsidR="008F5E64" w:rsidRPr="00DE37BC">
        <w:rPr>
          <w:rFonts w:ascii="Times New Roman" w:eastAsia="Times New Roman" w:hAnsi="Times New Roman" w:cs="Times New Roman"/>
          <w:b/>
          <w:i/>
          <w:sz w:val="28"/>
        </w:rPr>
        <w:t>a pontes, viadutos e passarelas</w:t>
      </w:r>
      <w:r w:rsidR="008F5E64" w:rsidRPr="008F5E64">
        <w:rPr>
          <w:rFonts w:ascii="Times New Roman" w:eastAsia="Times New Roman" w:hAnsi="Times New Roman" w:cs="Times New Roman"/>
          <w:i/>
          <w:sz w:val="28"/>
        </w:rPr>
        <w:t xml:space="preserve"> do Município </w:t>
      </w:r>
      <w:r w:rsidR="00B14CDF">
        <w:rPr>
          <w:rFonts w:ascii="Times New Roman" w:eastAsia="Times New Roman" w:hAnsi="Times New Roman" w:cs="Times New Roman"/>
          <w:i/>
          <w:sz w:val="28"/>
        </w:rPr>
        <w:t>de São Paulo,</w:t>
      </w:r>
      <w:r w:rsidR="005F4E3A">
        <w:rPr>
          <w:rFonts w:ascii="Times New Roman" w:eastAsia="Times New Roman" w:hAnsi="Times New Roman" w:cs="Times New Roman"/>
          <w:sz w:val="28"/>
        </w:rPr>
        <w:t xml:space="preserve"> posteriores ao Decreto</w:t>
      </w:r>
      <w:r w:rsidR="008F5E64">
        <w:rPr>
          <w:rFonts w:ascii="Times New Roman" w:eastAsia="Times New Roman" w:hAnsi="Times New Roman" w:cs="Times New Roman"/>
          <w:sz w:val="28"/>
        </w:rPr>
        <w:t xml:space="preserve"> nº</w:t>
      </w:r>
      <w:r w:rsidR="005F4E3A">
        <w:rPr>
          <w:rFonts w:ascii="Times New Roman" w:eastAsia="Times New Roman" w:hAnsi="Times New Roman" w:cs="Times New Roman"/>
          <w:sz w:val="28"/>
        </w:rPr>
        <w:t xml:space="preserve"> </w:t>
      </w:r>
      <w:r w:rsidR="005F4E3A" w:rsidRPr="005F4E3A">
        <w:rPr>
          <w:rFonts w:ascii="Times New Roman" w:eastAsia="Times New Roman" w:hAnsi="Times New Roman" w:cs="Times New Roman"/>
          <w:sz w:val="28"/>
        </w:rPr>
        <w:t>42.239/2002,</w:t>
      </w:r>
      <w:r w:rsidR="005F4E3A">
        <w:rPr>
          <w:rFonts w:ascii="Times New Roman" w:eastAsia="Times New Roman" w:hAnsi="Times New Roman" w:cs="Times New Roman"/>
          <w:sz w:val="28"/>
        </w:rPr>
        <w:t xml:space="preserve"> mencionado pela </w:t>
      </w:r>
      <w:r w:rsidR="00DE37BC">
        <w:rPr>
          <w:rFonts w:ascii="Times New Roman" w:eastAsia="Times New Roman" w:hAnsi="Times New Roman" w:cs="Times New Roman"/>
          <w:sz w:val="28"/>
        </w:rPr>
        <w:t>Auditoria</w:t>
      </w:r>
      <w:r w:rsidR="005F4E3A">
        <w:rPr>
          <w:rFonts w:ascii="Times New Roman" w:eastAsia="Times New Roman" w:hAnsi="Times New Roman" w:cs="Times New Roman"/>
          <w:sz w:val="28"/>
        </w:rPr>
        <w:t xml:space="preserve">, </w:t>
      </w:r>
      <w:r w:rsidR="00B14CDF">
        <w:rPr>
          <w:rFonts w:ascii="Times New Roman" w:eastAsia="Times New Roman" w:hAnsi="Times New Roman" w:cs="Times New Roman"/>
          <w:sz w:val="28"/>
        </w:rPr>
        <w:t>não mais se encontram em vigor</w:t>
      </w:r>
      <w:r w:rsidR="00DE37BC">
        <w:rPr>
          <w:rFonts w:ascii="Times New Roman" w:eastAsia="Times New Roman" w:hAnsi="Times New Roman" w:cs="Times New Roman"/>
          <w:sz w:val="28"/>
        </w:rPr>
        <w:t xml:space="preserve">. </w:t>
      </w:r>
    </w:p>
    <w:p w:rsidR="00F47AFD" w:rsidRDefault="00F47AFD" w:rsidP="00720A4B">
      <w:pPr>
        <w:spacing w:before="0" w:line="276" w:lineRule="auto"/>
        <w:ind w:left="142" w:firstLine="1559"/>
        <w:jc w:val="both"/>
        <w:rPr>
          <w:rFonts w:ascii="Times New Roman" w:eastAsia="Times New Roman" w:hAnsi="Times New Roman" w:cs="Times New Roman"/>
          <w:sz w:val="28"/>
        </w:rPr>
      </w:pPr>
    </w:p>
    <w:p w:rsidR="00B31804" w:rsidRDefault="00DE37BC" w:rsidP="00720A4B">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Assim,</w:t>
      </w:r>
      <w:r w:rsidR="00B14CDF">
        <w:rPr>
          <w:rFonts w:ascii="Times New Roman" w:eastAsia="Times New Roman" w:hAnsi="Times New Roman" w:cs="Times New Roman"/>
          <w:sz w:val="28"/>
        </w:rPr>
        <w:t xml:space="preserve"> </w:t>
      </w:r>
      <w:r w:rsidR="003E7B43">
        <w:rPr>
          <w:rFonts w:ascii="Times New Roman" w:eastAsia="Times New Roman" w:hAnsi="Times New Roman" w:cs="Times New Roman"/>
          <w:sz w:val="28"/>
        </w:rPr>
        <w:t>entendo superado o questionamento.</w:t>
      </w:r>
    </w:p>
    <w:p w:rsidR="004A5404" w:rsidRDefault="004A5404" w:rsidP="0033727D">
      <w:pPr>
        <w:spacing w:before="0" w:line="276" w:lineRule="auto"/>
        <w:jc w:val="both"/>
        <w:rPr>
          <w:rFonts w:ascii="Times New Roman" w:eastAsia="Times New Roman" w:hAnsi="Times New Roman" w:cs="Times New Roman"/>
          <w:sz w:val="28"/>
        </w:rPr>
      </w:pPr>
    </w:p>
    <w:p w:rsidR="00B31804" w:rsidRPr="003E7B43" w:rsidRDefault="00B31804" w:rsidP="00826E6E">
      <w:pPr>
        <w:spacing w:before="0" w:line="276" w:lineRule="auto"/>
        <w:ind w:left="142" w:firstLine="1559"/>
        <w:jc w:val="both"/>
        <w:rPr>
          <w:rFonts w:ascii="Times New Roman" w:eastAsia="Times New Roman" w:hAnsi="Times New Roman" w:cs="Times New Roman"/>
          <w:b/>
          <w:sz w:val="28"/>
        </w:rPr>
      </w:pPr>
      <w:r w:rsidRPr="003E7B43">
        <w:rPr>
          <w:rFonts w:ascii="Times New Roman" w:eastAsia="Times New Roman" w:hAnsi="Times New Roman" w:cs="Times New Roman"/>
          <w:b/>
          <w:sz w:val="28"/>
        </w:rPr>
        <w:t>CONCLUSÃO</w:t>
      </w:r>
    </w:p>
    <w:p w:rsidR="00B31804" w:rsidRDefault="00B31804" w:rsidP="0033727D">
      <w:pPr>
        <w:spacing w:before="0" w:line="276" w:lineRule="auto"/>
        <w:jc w:val="both"/>
        <w:rPr>
          <w:rFonts w:ascii="Times New Roman" w:eastAsia="Times New Roman" w:hAnsi="Times New Roman" w:cs="Times New Roman"/>
          <w:sz w:val="28"/>
        </w:rPr>
      </w:pPr>
    </w:p>
    <w:p w:rsidR="00826E6E" w:rsidRDefault="00826E6E" w:rsidP="00826E6E">
      <w:pPr>
        <w:spacing w:before="0" w:line="276" w:lineRule="auto"/>
        <w:ind w:left="142" w:firstLine="1559"/>
        <w:jc w:val="both"/>
        <w:rPr>
          <w:rFonts w:ascii="Times New Roman" w:eastAsia="Times New Roman" w:hAnsi="Times New Roman" w:cs="Times New Roman"/>
          <w:sz w:val="28"/>
        </w:rPr>
      </w:pPr>
      <w:r>
        <w:rPr>
          <w:rFonts w:ascii="Times New Roman" w:eastAsia="Times New Roman" w:hAnsi="Times New Roman" w:cs="Times New Roman"/>
          <w:sz w:val="28"/>
        </w:rPr>
        <w:t xml:space="preserve">Diante do exposto, e sem descurar da prestigiosa análise dos técnicos desta Corte, </w:t>
      </w:r>
      <w:r w:rsidRPr="004A2D27">
        <w:rPr>
          <w:rFonts w:ascii="Times New Roman" w:eastAsia="Times New Roman" w:hAnsi="Times New Roman" w:cs="Times New Roman"/>
          <w:b/>
          <w:sz w:val="28"/>
        </w:rPr>
        <w:t xml:space="preserve">entendo que </w:t>
      </w:r>
      <w:r w:rsidR="00E40F0A">
        <w:rPr>
          <w:rFonts w:ascii="Times New Roman" w:eastAsia="Times New Roman" w:hAnsi="Times New Roman" w:cs="Times New Roman"/>
          <w:b/>
          <w:sz w:val="28"/>
        </w:rPr>
        <w:t>cada uma das licitações</w:t>
      </w:r>
      <w:r w:rsidRPr="004A2D27">
        <w:rPr>
          <w:rFonts w:ascii="Times New Roman" w:eastAsia="Times New Roman" w:hAnsi="Times New Roman" w:cs="Times New Roman"/>
          <w:b/>
          <w:sz w:val="28"/>
        </w:rPr>
        <w:t xml:space="preserve"> pode</w:t>
      </w:r>
      <w:r w:rsidR="00E40F0A">
        <w:rPr>
          <w:rFonts w:ascii="Times New Roman" w:eastAsia="Times New Roman" w:hAnsi="Times New Roman" w:cs="Times New Roman"/>
          <w:b/>
          <w:sz w:val="28"/>
        </w:rPr>
        <w:t>m</w:t>
      </w:r>
      <w:r w:rsidRPr="004A2D27">
        <w:rPr>
          <w:rFonts w:ascii="Times New Roman" w:eastAsia="Times New Roman" w:hAnsi="Times New Roman" w:cs="Times New Roman"/>
          <w:b/>
          <w:sz w:val="28"/>
        </w:rPr>
        <w:t xml:space="preserve"> ter seu prosseguimento autorizado</w:t>
      </w:r>
      <w:r>
        <w:rPr>
          <w:rFonts w:ascii="Times New Roman" w:eastAsia="Times New Roman" w:hAnsi="Times New Roman" w:cs="Times New Roman"/>
          <w:sz w:val="28"/>
        </w:rPr>
        <w:t xml:space="preserve">, </w:t>
      </w:r>
      <w:r w:rsidRPr="004A2D27">
        <w:rPr>
          <w:rFonts w:ascii="Times New Roman" w:eastAsia="Times New Roman" w:hAnsi="Times New Roman" w:cs="Times New Roman"/>
          <w:i/>
          <w:sz w:val="28"/>
        </w:rPr>
        <w:t>desde que cumpridas as alterações mencionadas pela Origem</w:t>
      </w:r>
      <w:r>
        <w:rPr>
          <w:rFonts w:ascii="Times New Roman" w:eastAsia="Times New Roman" w:hAnsi="Times New Roman" w:cs="Times New Roman"/>
          <w:i/>
          <w:sz w:val="28"/>
        </w:rPr>
        <w:t>,</w:t>
      </w:r>
      <w:r w:rsidRPr="004A2D27">
        <w:rPr>
          <w:rFonts w:ascii="Times New Roman" w:eastAsia="Times New Roman" w:hAnsi="Times New Roman" w:cs="Times New Roman"/>
          <w:i/>
          <w:sz w:val="28"/>
        </w:rPr>
        <w:t xml:space="preserve"> </w:t>
      </w:r>
      <w:r>
        <w:rPr>
          <w:rFonts w:ascii="Times New Roman" w:eastAsia="Times New Roman" w:hAnsi="Times New Roman" w:cs="Times New Roman"/>
          <w:i/>
          <w:sz w:val="28"/>
        </w:rPr>
        <w:t xml:space="preserve">bem como as </w:t>
      </w:r>
      <w:r w:rsidRPr="004A2D27">
        <w:rPr>
          <w:rFonts w:ascii="Times New Roman" w:eastAsia="Times New Roman" w:hAnsi="Times New Roman" w:cs="Times New Roman"/>
          <w:i/>
          <w:sz w:val="28"/>
        </w:rPr>
        <w:t>condicionantes que passo a enumerar</w:t>
      </w:r>
      <w:r>
        <w:rPr>
          <w:rFonts w:ascii="Times New Roman" w:eastAsia="Times New Roman" w:hAnsi="Times New Roman" w:cs="Times New Roman"/>
          <w:sz w:val="28"/>
        </w:rPr>
        <w:t xml:space="preserve">: </w:t>
      </w:r>
    </w:p>
    <w:p w:rsidR="00A96AFF" w:rsidRDefault="00A96AFF" w:rsidP="00826E6E">
      <w:pPr>
        <w:spacing w:before="0" w:line="276" w:lineRule="auto"/>
        <w:ind w:left="142" w:firstLine="1559"/>
        <w:jc w:val="both"/>
        <w:rPr>
          <w:rFonts w:ascii="Times New Roman" w:eastAsia="Times New Roman" w:hAnsi="Times New Roman" w:cs="Times New Roman"/>
          <w:sz w:val="28"/>
        </w:rPr>
      </w:pPr>
    </w:p>
    <w:p w:rsidR="00A96AFF" w:rsidRPr="0037334E" w:rsidRDefault="0037334E" w:rsidP="00826E6E">
      <w:pPr>
        <w:spacing w:before="0" w:line="276" w:lineRule="auto"/>
        <w:ind w:left="142" w:firstLine="1559"/>
        <w:jc w:val="both"/>
        <w:rPr>
          <w:rFonts w:ascii="Times New Roman" w:eastAsia="Times New Roman" w:hAnsi="Times New Roman" w:cs="Times New Roman"/>
          <w:b/>
          <w:sz w:val="28"/>
        </w:rPr>
      </w:pPr>
      <w:r w:rsidRPr="0037334E">
        <w:rPr>
          <w:rFonts w:ascii="Times New Roman" w:eastAsia="Times New Roman" w:hAnsi="Times New Roman" w:cs="Times New Roman"/>
          <w:b/>
          <w:sz w:val="28"/>
        </w:rPr>
        <w:t>Determino à Origem</w:t>
      </w:r>
      <w:r>
        <w:rPr>
          <w:rFonts w:ascii="Times New Roman" w:eastAsia="Times New Roman" w:hAnsi="Times New Roman" w:cs="Times New Roman"/>
          <w:b/>
          <w:sz w:val="28"/>
        </w:rPr>
        <w:t xml:space="preserve"> que </w:t>
      </w:r>
      <w:r>
        <w:rPr>
          <w:rFonts w:ascii="Times New Roman" w:eastAsia="Times New Roman" w:hAnsi="Times New Roman" w:cs="Times New Roman"/>
          <w:sz w:val="28"/>
        </w:rPr>
        <w:t>promova a adequação dos Editais em exame, nos seguintes termos</w:t>
      </w:r>
      <w:r w:rsidRPr="0037334E">
        <w:rPr>
          <w:rFonts w:ascii="Times New Roman" w:eastAsia="Times New Roman" w:hAnsi="Times New Roman" w:cs="Times New Roman"/>
          <w:b/>
          <w:sz w:val="28"/>
        </w:rPr>
        <w:t xml:space="preserve">: </w:t>
      </w:r>
    </w:p>
    <w:p w:rsidR="003E7B43" w:rsidRDefault="003E7B43" w:rsidP="00826E6E">
      <w:pPr>
        <w:spacing w:before="0" w:line="276" w:lineRule="auto"/>
        <w:ind w:left="142" w:firstLine="1559"/>
        <w:jc w:val="both"/>
        <w:rPr>
          <w:rFonts w:ascii="Times New Roman" w:eastAsia="Times New Roman" w:hAnsi="Times New Roman" w:cs="Times New Roman"/>
          <w:sz w:val="28"/>
        </w:rPr>
      </w:pPr>
    </w:p>
    <w:p w:rsidR="002B79BE" w:rsidRDefault="0033727D" w:rsidP="002B79BE">
      <w:pPr>
        <w:pStyle w:val="PargrafodaLista"/>
        <w:numPr>
          <w:ilvl w:val="0"/>
          <w:numId w:val="35"/>
        </w:numPr>
        <w:spacing w:before="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37334E" w:rsidRPr="003E7B43">
        <w:rPr>
          <w:rFonts w:ascii="Times New Roman" w:eastAsia="Times New Roman" w:hAnsi="Times New Roman" w:cs="Times New Roman"/>
          <w:sz w:val="28"/>
        </w:rPr>
        <w:t xml:space="preserve">Promova alteração da nota de preços para que ao invés de variar de 30 a 100, varie na mesma faixa </w:t>
      </w:r>
      <w:r w:rsidR="00B737A4" w:rsidRPr="003E7B43">
        <w:rPr>
          <w:rFonts w:ascii="Times New Roman" w:eastAsia="Times New Roman" w:hAnsi="Times New Roman" w:cs="Times New Roman"/>
          <w:sz w:val="28"/>
        </w:rPr>
        <w:t>da Nota Técnica, entre 60 e 100</w:t>
      </w:r>
      <w:r w:rsidR="002B79BE">
        <w:rPr>
          <w:rFonts w:ascii="Times New Roman" w:eastAsia="Times New Roman" w:hAnsi="Times New Roman" w:cs="Times New Roman"/>
          <w:sz w:val="28"/>
        </w:rPr>
        <w:t xml:space="preserve"> (item 5.4)</w:t>
      </w:r>
      <w:r w:rsidR="00B737A4" w:rsidRPr="003E7B43">
        <w:rPr>
          <w:rFonts w:ascii="Times New Roman" w:eastAsia="Times New Roman" w:hAnsi="Times New Roman" w:cs="Times New Roman"/>
          <w:sz w:val="28"/>
        </w:rPr>
        <w:t>;</w:t>
      </w:r>
    </w:p>
    <w:p w:rsidR="002B79BE" w:rsidRDefault="00F072E9" w:rsidP="002B79BE">
      <w:pPr>
        <w:pStyle w:val="PargrafodaLista"/>
        <w:numPr>
          <w:ilvl w:val="0"/>
          <w:numId w:val="35"/>
        </w:numPr>
        <w:spacing w:before="0" w:line="276" w:lineRule="auto"/>
        <w:jc w:val="both"/>
        <w:rPr>
          <w:rFonts w:ascii="Times New Roman" w:eastAsia="Times New Roman" w:hAnsi="Times New Roman" w:cs="Times New Roman"/>
          <w:sz w:val="28"/>
        </w:rPr>
      </w:pPr>
      <w:r w:rsidRPr="002B79BE">
        <w:rPr>
          <w:rFonts w:ascii="Times New Roman" w:eastAsia="Times New Roman" w:hAnsi="Times New Roman" w:cs="Times New Roman"/>
          <w:sz w:val="28"/>
        </w:rPr>
        <w:t xml:space="preserve"> </w:t>
      </w:r>
      <w:r w:rsidR="002B79BE">
        <w:rPr>
          <w:rFonts w:ascii="Times New Roman" w:eastAsia="Times New Roman" w:hAnsi="Times New Roman" w:cs="Times New Roman"/>
          <w:sz w:val="28"/>
        </w:rPr>
        <w:t xml:space="preserve">Promova </w:t>
      </w:r>
      <w:r w:rsidRPr="002B79BE">
        <w:rPr>
          <w:rFonts w:ascii="Times New Roman" w:eastAsia="Times New Roman" w:hAnsi="Times New Roman" w:cs="Times New Roman"/>
          <w:sz w:val="28"/>
        </w:rPr>
        <w:t>a devida correção na minuta do contrato</w:t>
      </w:r>
      <w:r w:rsidR="00B737A4" w:rsidRPr="002B79BE">
        <w:rPr>
          <w:rFonts w:ascii="Times New Roman" w:eastAsia="Times New Roman" w:hAnsi="Times New Roman" w:cs="Times New Roman"/>
          <w:sz w:val="28"/>
        </w:rPr>
        <w:t xml:space="preserve"> </w:t>
      </w:r>
      <w:r w:rsidR="003E7B43" w:rsidRPr="002B79BE">
        <w:rPr>
          <w:rFonts w:ascii="Times New Roman" w:eastAsia="Times New Roman" w:hAnsi="Times New Roman" w:cs="Times New Roman"/>
          <w:sz w:val="28"/>
        </w:rPr>
        <w:t xml:space="preserve">(item </w:t>
      </w:r>
      <w:r w:rsidR="00B31804" w:rsidRPr="002B79BE">
        <w:rPr>
          <w:rFonts w:ascii="Times New Roman" w:eastAsia="Times New Roman" w:hAnsi="Times New Roman" w:cs="Times New Roman"/>
          <w:sz w:val="28"/>
        </w:rPr>
        <w:t>5.10</w:t>
      </w:r>
      <w:r w:rsidR="003E7B43" w:rsidRPr="002B79BE">
        <w:rPr>
          <w:rFonts w:ascii="Times New Roman" w:eastAsia="Times New Roman" w:hAnsi="Times New Roman" w:cs="Times New Roman"/>
          <w:sz w:val="28"/>
        </w:rPr>
        <w:t>)</w:t>
      </w:r>
      <w:r w:rsidR="002B79BE">
        <w:rPr>
          <w:rFonts w:ascii="Times New Roman" w:eastAsia="Times New Roman" w:hAnsi="Times New Roman" w:cs="Times New Roman"/>
          <w:sz w:val="28"/>
        </w:rPr>
        <w:t>;</w:t>
      </w:r>
      <w:r w:rsidR="00B31804" w:rsidRPr="002B79BE">
        <w:rPr>
          <w:rFonts w:ascii="Times New Roman" w:eastAsia="Times New Roman" w:hAnsi="Times New Roman" w:cs="Times New Roman"/>
          <w:sz w:val="28"/>
        </w:rPr>
        <w:t xml:space="preserve"> </w:t>
      </w:r>
    </w:p>
    <w:p w:rsidR="002B79BE" w:rsidRDefault="0033727D" w:rsidP="002B79BE">
      <w:pPr>
        <w:pStyle w:val="PargrafodaLista"/>
        <w:numPr>
          <w:ilvl w:val="0"/>
          <w:numId w:val="35"/>
        </w:numPr>
        <w:spacing w:before="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40F0A" w:rsidRPr="002B79BE">
        <w:rPr>
          <w:rFonts w:ascii="Times New Roman" w:eastAsia="Times New Roman" w:hAnsi="Times New Roman" w:cs="Times New Roman"/>
          <w:sz w:val="28"/>
        </w:rPr>
        <w:t>A</w:t>
      </w:r>
      <w:r w:rsidR="00F072E9" w:rsidRPr="002B79BE">
        <w:rPr>
          <w:rFonts w:ascii="Times New Roman" w:eastAsia="Times New Roman" w:hAnsi="Times New Roman" w:cs="Times New Roman"/>
          <w:sz w:val="28"/>
        </w:rPr>
        <w:t xml:space="preserve"> avaliação de conformidade relacionada ao subitem 5.3 da "ABNT NBR 6118— Projeto de Estruturas de concreto - Procedimento", </w:t>
      </w:r>
      <w:r w:rsidR="00B161C7">
        <w:rPr>
          <w:rFonts w:ascii="Times New Roman" w:eastAsia="Times New Roman" w:hAnsi="Times New Roman" w:cs="Times New Roman"/>
          <w:sz w:val="28"/>
        </w:rPr>
        <w:t xml:space="preserve">deverá ser feita por profissional habilitado </w:t>
      </w:r>
      <w:r w:rsidR="00B161C7">
        <w:rPr>
          <w:rFonts w:ascii="Times New Roman" w:eastAsia="Times New Roman" w:hAnsi="Times New Roman" w:cs="Times New Roman"/>
          <w:sz w:val="28"/>
        </w:rPr>
        <w:lastRenderedPageBreak/>
        <w:t>independente do projetista, nos termos da Norma técnica.</w:t>
      </w:r>
      <w:r w:rsidR="00F072E9" w:rsidRPr="002B79BE">
        <w:rPr>
          <w:rFonts w:ascii="Times New Roman" w:eastAsia="Times New Roman" w:hAnsi="Times New Roman" w:cs="Times New Roman"/>
          <w:sz w:val="28"/>
        </w:rPr>
        <w:t xml:space="preserve"> </w:t>
      </w:r>
      <w:r w:rsidR="003E7B43" w:rsidRPr="002B79BE">
        <w:rPr>
          <w:rFonts w:ascii="Times New Roman" w:eastAsia="Times New Roman" w:hAnsi="Times New Roman" w:cs="Times New Roman"/>
          <w:sz w:val="28"/>
        </w:rPr>
        <w:t xml:space="preserve">(item </w:t>
      </w:r>
      <w:r w:rsidR="00B31804" w:rsidRPr="002B79BE">
        <w:rPr>
          <w:rFonts w:ascii="Times New Roman" w:eastAsia="Times New Roman" w:hAnsi="Times New Roman" w:cs="Times New Roman"/>
          <w:sz w:val="28"/>
        </w:rPr>
        <w:t>5.14</w:t>
      </w:r>
      <w:r w:rsidR="003E7B43" w:rsidRPr="002B79BE">
        <w:rPr>
          <w:rFonts w:ascii="Times New Roman" w:eastAsia="Times New Roman" w:hAnsi="Times New Roman" w:cs="Times New Roman"/>
          <w:sz w:val="28"/>
        </w:rPr>
        <w:t>)</w:t>
      </w:r>
    </w:p>
    <w:p w:rsidR="002B79BE" w:rsidRDefault="0033727D" w:rsidP="002B79BE">
      <w:pPr>
        <w:pStyle w:val="PargrafodaLista"/>
        <w:numPr>
          <w:ilvl w:val="0"/>
          <w:numId w:val="35"/>
        </w:numPr>
        <w:spacing w:before="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F072E9" w:rsidRPr="002B79BE">
        <w:rPr>
          <w:rFonts w:ascii="Times New Roman" w:eastAsia="Times New Roman" w:hAnsi="Times New Roman" w:cs="Times New Roman"/>
          <w:sz w:val="28"/>
        </w:rPr>
        <w:t>Insira nos Termos de Referência dos Editais as referidas normas (Peça 83, p. 32/33) para uti</w:t>
      </w:r>
      <w:r w:rsidR="00CD1B50">
        <w:rPr>
          <w:rFonts w:ascii="Times New Roman" w:eastAsia="Times New Roman" w:hAnsi="Times New Roman" w:cs="Times New Roman"/>
          <w:sz w:val="28"/>
        </w:rPr>
        <w:t>lização nas OAE</w:t>
      </w:r>
      <w:r>
        <w:rPr>
          <w:rFonts w:ascii="Times New Roman" w:eastAsia="Times New Roman" w:hAnsi="Times New Roman" w:cs="Times New Roman"/>
          <w:sz w:val="28"/>
        </w:rPr>
        <w:t>s do tipo mista</w:t>
      </w:r>
      <w:r w:rsidR="00F072E9" w:rsidRPr="002B79BE">
        <w:rPr>
          <w:rFonts w:ascii="Times New Roman" w:eastAsia="Times New Roman" w:hAnsi="Times New Roman" w:cs="Times New Roman"/>
          <w:sz w:val="28"/>
        </w:rPr>
        <w:t xml:space="preserve"> </w:t>
      </w:r>
      <w:r w:rsidR="003E7B43" w:rsidRPr="002B79BE">
        <w:rPr>
          <w:rFonts w:ascii="Times New Roman" w:eastAsia="Times New Roman" w:hAnsi="Times New Roman" w:cs="Times New Roman"/>
          <w:sz w:val="28"/>
        </w:rPr>
        <w:t xml:space="preserve">(item </w:t>
      </w:r>
      <w:r w:rsidR="00B737A4" w:rsidRPr="002B79BE">
        <w:rPr>
          <w:rFonts w:ascii="Times New Roman" w:eastAsia="Times New Roman" w:hAnsi="Times New Roman" w:cs="Times New Roman"/>
          <w:sz w:val="28"/>
        </w:rPr>
        <w:t>5.16</w:t>
      </w:r>
      <w:r w:rsidR="003E7B43" w:rsidRPr="002B79BE">
        <w:rPr>
          <w:rFonts w:ascii="Times New Roman" w:eastAsia="Times New Roman" w:hAnsi="Times New Roman" w:cs="Times New Roman"/>
          <w:sz w:val="28"/>
        </w:rPr>
        <w:t>)</w:t>
      </w:r>
    </w:p>
    <w:p w:rsidR="00A96AFF" w:rsidRDefault="0033727D" w:rsidP="002B79BE">
      <w:pPr>
        <w:pStyle w:val="PargrafodaLista"/>
        <w:numPr>
          <w:ilvl w:val="0"/>
          <w:numId w:val="35"/>
        </w:numPr>
        <w:spacing w:before="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No âmbito da CP 007/</w:t>
      </w:r>
      <w:r w:rsidR="0037334E" w:rsidRPr="002B79BE">
        <w:rPr>
          <w:rFonts w:ascii="Times New Roman" w:eastAsia="Times New Roman" w:hAnsi="Times New Roman" w:cs="Times New Roman"/>
          <w:sz w:val="28"/>
        </w:rPr>
        <w:t>19</w:t>
      </w:r>
      <w:r>
        <w:rPr>
          <w:rFonts w:ascii="Times New Roman" w:eastAsia="Times New Roman" w:hAnsi="Times New Roman" w:cs="Times New Roman"/>
          <w:sz w:val="28"/>
        </w:rPr>
        <w:t>/SIURB</w:t>
      </w:r>
      <w:r w:rsidR="0037334E" w:rsidRPr="002B79BE">
        <w:rPr>
          <w:rFonts w:ascii="Times New Roman" w:eastAsia="Times New Roman" w:hAnsi="Times New Roman" w:cs="Times New Roman"/>
          <w:sz w:val="28"/>
        </w:rPr>
        <w:t xml:space="preserve">, </w:t>
      </w:r>
      <w:r w:rsidR="00A96AFF" w:rsidRPr="002B79BE">
        <w:rPr>
          <w:rFonts w:ascii="Times New Roman" w:eastAsia="Times New Roman" w:hAnsi="Times New Roman" w:cs="Times New Roman"/>
          <w:sz w:val="28"/>
        </w:rPr>
        <w:t xml:space="preserve">que prevê </w:t>
      </w:r>
      <w:r w:rsidR="00E40F0A" w:rsidRPr="002B79BE">
        <w:rPr>
          <w:rFonts w:ascii="Times New Roman" w:eastAsia="Times New Roman" w:hAnsi="Times New Roman" w:cs="Times New Roman"/>
          <w:sz w:val="28"/>
        </w:rPr>
        <w:t>a intervenção em</w:t>
      </w:r>
      <w:r w:rsidR="00A96AFF" w:rsidRPr="002B79BE">
        <w:rPr>
          <w:rFonts w:ascii="Times New Roman" w:eastAsia="Times New Roman" w:hAnsi="Times New Roman" w:cs="Times New Roman"/>
          <w:sz w:val="28"/>
        </w:rPr>
        <w:t xml:space="preserve"> mais 18 Obras de Artes Especiais a serem inspecionadas e </w:t>
      </w:r>
      <w:r>
        <w:rPr>
          <w:rFonts w:ascii="Times New Roman" w:eastAsia="Times New Roman" w:hAnsi="Times New Roman" w:cs="Times New Roman"/>
          <w:sz w:val="28"/>
        </w:rPr>
        <w:t xml:space="preserve">eventualmente </w:t>
      </w:r>
      <w:r w:rsidR="00A96AFF" w:rsidRPr="002B79BE">
        <w:rPr>
          <w:rFonts w:ascii="Times New Roman" w:eastAsia="Times New Roman" w:hAnsi="Times New Roman" w:cs="Times New Roman"/>
          <w:sz w:val="28"/>
        </w:rPr>
        <w:t xml:space="preserve">recuperadas, </w:t>
      </w:r>
      <w:r>
        <w:rPr>
          <w:rFonts w:ascii="Times New Roman" w:eastAsia="Times New Roman" w:hAnsi="Times New Roman" w:cs="Times New Roman"/>
          <w:sz w:val="28"/>
        </w:rPr>
        <w:t xml:space="preserve">promova as </w:t>
      </w:r>
      <w:r w:rsidR="0037334E" w:rsidRPr="002B79BE">
        <w:rPr>
          <w:rFonts w:ascii="Times New Roman" w:eastAsia="Times New Roman" w:hAnsi="Times New Roman" w:cs="Times New Roman"/>
          <w:sz w:val="28"/>
        </w:rPr>
        <w:t xml:space="preserve">alterações </w:t>
      </w:r>
      <w:r>
        <w:rPr>
          <w:rFonts w:ascii="Times New Roman" w:eastAsia="Times New Roman" w:hAnsi="Times New Roman" w:cs="Times New Roman"/>
          <w:sz w:val="28"/>
        </w:rPr>
        <w:t xml:space="preserve">necessárias </w:t>
      </w:r>
      <w:r w:rsidR="0037334E" w:rsidRPr="002B79BE">
        <w:rPr>
          <w:rFonts w:ascii="Times New Roman" w:eastAsia="Times New Roman" w:hAnsi="Times New Roman" w:cs="Times New Roman"/>
          <w:sz w:val="28"/>
        </w:rPr>
        <w:t xml:space="preserve">no Edital, </w:t>
      </w:r>
      <w:r w:rsidR="00A96AFF" w:rsidRPr="002B79BE">
        <w:rPr>
          <w:rFonts w:ascii="Times New Roman" w:eastAsia="Times New Roman" w:hAnsi="Times New Roman" w:cs="Times New Roman"/>
          <w:sz w:val="28"/>
        </w:rPr>
        <w:t>nos mesmos term</w:t>
      </w:r>
      <w:r w:rsidR="004A0F76">
        <w:rPr>
          <w:rFonts w:ascii="Times New Roman" w:eastAsia="Times New Roman" w:hAnsi="Times New Roman" w:cs="Times New Roman"/>
          <w:sz w:val="28"/>
        </w:rPr>
        <w:t xml:space="preserve">os indicados nestes precedentes; e, por fim, </w:t>
      </w:r>
    </w:p>
    <w:p w:rsidR="004A0F76" w:rsidRDefault="004A0F76" w:rsidP="002B79BE">
      <w:pPr>
        <w:pStyle w:val="PargrafodaLista"/>
        <w:numPr>
          <w:ilvl w:val="0"/>
          <w:numId w:val="35"/>
        </w:numPr>
        <w:spacing w:before="0" w:line="276" w:lineRule="auto"/>
        <w:jc w:val="both"/>
        <w:rPr>
          <w:rFonts w:ascii="Times New Roman" w:eastAsia="Times New Roman" w:hAnsi="Times New Roman" w:cs="Times New Roman"/>
          <w:sz w:val="28"/>
        </w:rPr>
      </w:pPr>
      <w:r w:rsidRPr="004A0F76">
        <w:rPr>
          <w:rFonts w:ascii="Times New Roman" w:eastAsia="Times New Roman" w:hAnsi="Times New Roman" w:cs="Times New Roman"/>
          <w:sz w:val="28"/>
        </w:rPr>
        <w:t xml:space="preserve">Tendo em vista a variedade de tipos, modelos e concepções das obras de arte, objeto da licitação em tela, demandando cuidados específicos para cada um deles, exija-se no edital, junto aos produtos da contratação, a obrigação de apresentar prescrição técnica para </w:t>
      </w:r>
      <w:r w:rsidR="00794EE3">
        <w:rPr>
          <w:rFonts w:ascii="Times New Roman" w:eastAsia="Times New Roman" w:hAnsi="Times New Roman" w:cs="Times New Roman"/>
          <w:sz w:val="28"/>
        </w:rPr>
        <w:t xml:space="preserve">orientar </w:t>
      </w:r>
      <w:r w:rsidRPr="004A0F76">
        <w:rPr>
          <w:rFonts w:ascii="Times New Roman" w:eastAsia="Times New Roman" w:hAnsi="Times New Roman" w:cs="Times New Roman"/>
          <w:sz w:val="28"/>
        </w:rPr>
        <w:t>a futura manutenção das obras de arte, objeto da avença, de forma individualizada</w:t>
      </w:r>
      <w:r w:rsidR="00794EE3">
        <w:rPr>
          <w:rFonts w:ascii="Times New Roman" w:eastAsia="Times New Roman" w:hAnsi="Times New Roman" w:cs="Times New Roman"/>
          <w:sz w:val="28"/>
        </w:rPr>
        <w:t>, observando as Normas Técnicas correspondentes</w:t>
      </w:r>
      <w:r w:rsidRPr="004A0F76">
        <w:rPr>
          <w:rFonts w:ascii="Times New Roman" w:eastAsia="Times New Roman" w:hAnsi="Times New Roman" w:cs="Times New Roman"/>
          <w:sz w:val="28"/>
        </w:rPr>
        <w:t>.</w:t>
      </w:r>
    </w:p>
    <w:p w:rsidR="002B79BE" w:rsidRPr="002B79BE" w:rsidRDefault="002B79BE" w:rsidP="002B79BE">
      <w:pPr>
        <w:pStyle w:val="PargrafodaLista"/>
        <w:spacing w:before="0" w:line="276" w:lineRule="auto"/>
        <w:ind w:left="2091"/>
        <w:jc w:val="both"/>
        <w:rPr>
          <w:rFonts w:ascii="Times New Roman" w:eastAsia="Times New Roman" w:hAnsi="Times New Roman" w:cs="Times New Roman"/>
          <w:sz w:val="28"/>
        </w:rPr>
      </w:pPr>
    </w:p>
    <w:p w:rsidR="00DF0DDB" w:rsidRDefault="004A2D27" w:rsidP="00DF0DDB">
      <w:pPr>
        <w:spacing w:before="0" w:line="276" w:lineRule="auto"/>
        <w:ind w:left="142" w:firstLine="1559"/>
        <w:jc w:val="both"/>
        <w:rPr>
          <w:rFonts w:ascii="Times New Roman" w:eastAsia="Times New Roman" w:hAnsi="Times New Roman" w:cs="Times New Roman"/>
          <w:sz w:val="28"/>
        </w:rPr>
      </w:pPr>
      <w:r w:rsidRPr="004A5404">
        <w:rPr>
          <w:rFonts w:ascii="Times New Roman" w:eastAsia="Times New Roman" w:hAnsi="Times New Roman" w:cs="Times New Roman"/>
          <w:b/>
          <w:sz w:val="28"/>
        </w:rPr>
        <w:t>Determino</w:t>
      </w:r>
      <w:r>
        <w:rPr>
          <w:rFonts w:ascii="Times New Roman" w:eastAsia="Times New Roman" w:hAnsi="Times New Roman" w:cs="Times New Roman"/>
          <w:sz w:val="28"/>
        </w:rPr>
        <w:t xml:space="preserve"> à</w:t>
      </w:r>
      <w:r w:rsidRPr="004A2D27">
        <w:rPr>
          <w:rFonts w:ascii="Times New Roman" w:eastAsia="Times New Roman" w:hAnsi="Times New Roman" w:cs="Times New Roman"/>
          <w:sz w:val="28"/>
        </w:rPr>
        <w:t xml:space="preserve"> Subsecretaria de Fiscalização e Controle </w:t>
      </w:r>
      <w:r>
        <w:rPr>
          <w:rFonts w:ascii="Times New Roman" w:eastAsia="Times New Roman" w:hAnsi="Times New Roman" w:cs="Times New Roman"/>
          <w:sz w:val="28"/>
        </w:rPr>
        <w:t xml:space="preserve">que </w:t>
      </w:r>
      <w:r w:rsidRPr="004A2D27">
        <w:rPr>
          <w:rFonts w:ascii="Times New Roman" w:eastAsia="Times New Roman" w:hAnsi="Times New Roman" w:cs="Times New Roman"/>
          <w:sz w:val="28"/>
        </w:rPr>
        <w:t>verifique se as condições ora determinadas foram observadas pela Origem, q</w:t>
      </w:r>
      <w:r w:rsidR="005C696D">
        <w:rPr>
          <w:rFonts w:ascii="Times New Roman" w:eastAsia="Times New Roman" w:hAnsi="Times New Roman" w:cs="Times New Roman"/>
          <w:sz w:val="28"/>
        </w:rPr>
        <w:t xml:space="preserve">uando da republicação do Edital, </w:t>
      </w:r>
      <w:r w:rsidR="005434F2">
        <w:rPr>
          <w:rFonts w:ascii="Times New Roman" w:eastAsia="Times New Roman" w:hAnsi="Times New Roman" w:cs="Times New Roman"/>
          <w:sz w:val="28"/>
        </w:rPr>
        <w:t>bem como</w:t>
      </w:r>
      <w:r w:rsidR="005C696D">
        <w:rPr>
          <w:rFonts w:ascii="Times New Roman" w:eastAsia="Times New Roman" w:hAnsi="Times New Roman" w:cs="Times New Roman"/>
          <w:sz w:val="28"/>
        </w:rPr>
        <w:t xml:space="preserve"> inclua em seu planejamento </w:t>
      </w:r>
      <w:r w:rsidR="005434F2">
        <w:rPr>
          <w:rFonts w:ascii="Times New Roman" w:eastAsia="Times New Roman" w:hAnsi="Times New Roman" w:cs="Times New Roman"/>
          <w:sz w:val="28"/>
        </w:rPr>
        <w:t xml:space="preserve">anual </w:t>
      </w:r>
      <w:r w:rsidR="005C696D">
        <w:rPr>
          <w:rFonts w:ascii="Times New Roman" w:eastAsia="Times New Roman" w:hAnsi="Times New Roman" w:cs="Times New Roman"/>
          <w:sz w:val="28"/>
        </w:rPr>
        <w:t>o acompanhamento por amostragem das execuções contratuais decorrentes dos certames.</w:t>
      </w:r>
    </w:p>
    <w:p w:rsidR="00D75DC8" w:rsidRDefault="00D75DC8" w:rsidP="00DF0DDB">
      <w:pPr>
        <w:spacing w:before="0" w:line="276" w:lineRule="auto"/>
        <w:ind w:left="142" w:firstLine="1559"/>
        <w:jc w:val="both"/>
        <w:rPr>
          <w:rFonts w:ascii="Times New Roman" w:eastAsia="Times New Roman" w:hAnsi="Times New Roman" w:cs="Times New Roman"/>
          <w:sz w:val="28"/>
        </w:rPr>
      </w:pPr>
    </w:p>
    <w:p w:rsidR="00923892" w:rsidRDefault="00B3511E" w:rsidP="00DF0DDB">
      <w:pPr>
        <w:spacing w:before="0" w:line="276" w:lineRule="auto"/>
        <w:ind w:left="142" w:firstLine="1559"/>
        <w:jc w:val="both"/>
        <w:rPr>
          <w:rFonts w:ascii="Times New Roman" w:eastAsia="Times New Roman" w:hAnsi="Times New Roman" w:cs="Times New Roman"/>
          <w:sz w:val="28"/>
        </w:rPr>
      </w:pPr>
      <w:r w:rsidRPr="00B3511E">
        <w:rPr>
          <w:rFonts w:ascii="Times New Roman" w:eastAsia="Times New Roman" w:hAnsi="Times New Roman" w:cs="Times New Roman"/>
          <w:sz w:val="28"/>
        </w:rPr>
        <w:t>Cientifique-se a Origem do teor do presente despacho, encaminhando-se</w:t>
      </w:r>
      <w:r w:rsidR="00923892">
        <w:rPr>
          <w:rFonts w:ascii="Times New Roman" w:eastAsia="Times New Roman" w:hAnsi="Times New Roman" w:cs="Times New Roman"/>
          <w:sz w:val="28"/>
        </w:rPr>
        <w:t xml:space="preserve"> cópia da presente decisão</w:t>
      </w:r>
      <w:r w:rsidRPr="00B3511E">
        <w:rPr>
          <w:rFonts w:ascii="Times New Roman" w:eastAsia="Times New Roman" w:hAnsi="Times New Roman" w:cs="Times New Roman"/>
          <w:sz w:val="28"/>
        </w:rPr>
        <w:t xml:space="preserve">, para ciência. </w:t>
      </w:r>
    </w:p>
    <w:p w:rsidR="00923892" w:rsidRDefault="00923892" w:rsidP="00B3511E">
      <w:pPr>
        <w:spacing w:before="0" w:line="276" w:lineRule="auto"/>
        <w:ind w:firstLine="1710"/>
        <w:jc w:val="both"/>
        <w:rPr>
          <w:rFonts w:ascii="Times New Roman" w:eastAsia="Times New Roman" w:hAnsi="Times New Roman" w:cs="Times New Roman"/>
          <w:sz w:val="28"/>
        </w:rPr>
      </w:pPr>
    </w:p>
    <w:p w:rsidR="00B3511E" w:rsidRPr="00B3511E" w:rsidRDefault="00B3511E" w:rsidP="00B3511E">
      <w:pPr>
        <w:spacing w:before="0" w:line="276" w:lineRule="auto"/>
        <w:ind w:firstLine="1710"/>
        <w:jc w:val="both"/>
        <w:rPr>
          <w:rFonts w:ascii="Times New Roman" w:eastAsia="Times New Roman" w:hAnsi="Times New Roman" w:cs="Times New Roman"/>
          <w:sz w:val="28"/>
        </w:rPr>
      </w:pPr>
      <w:r w:rsidRPr="00B3511E">
        <w:rPr>
          <w:rFonts w:ascii="Times New Roman" w:eastAsia="Times New Roman" w:hAnsi="Times New Roman" w:cs="Times New Roman"/>
          <w:sz w:val="28"/>
        </w:rPr>
        <w:t>Publique-se.</w:t>
      </w:r>
    </w:p>
    <w:p w:rsidR="00B3511E" w:rsidRDefault="00B3511E" w:rsidP="00B3511E">
      <w:pPr>
        <w:spacing w:before="0" w:line="240" w:lineRule="auto"/>
        <w:jc w:val="both"/>
        <w:rPr>
          <w:rFonts w:ascii="Times New Roman" w:eastAsia="Times New Roman" w:hAnsi="Times New Roman" w:cs="Times New Roman"/>
          <w:sz w:val="28"/>
        </w:rPr>
      </w:pPr>
    </w:p>
    <w:p w:rsidR="00D75DC8" w:rsidRPr="00D75DC8" w:rsidRDefault="00D75DC8" w:rsidP="00D75DC8">
      <w:pPr>
        <w:spacing w:before="0" w:line="240" w:lineRule="auto"/>
        <w:jc w:val="center"/>
        <w:rPr>
          <w:rFonts w:ascii="Times New Roman" w:eastAsia="Times New Roman" w:hAnsi="Times New Roman" w:cs="Times New Roman"/>
          <w:b/>
          <w:sz w:val="28"/>
        </w:rPr>
      </w:pPr>
      <w:r w:rsidRPr="00D75DC8">
        <w:rPr>
          <w:rFonts w:ascii="Times New Roman" w:eastAsia="Times New Roman" w:hAnsi="Times New Roman" w:cs="Times New Roman"/>
          <w:b/>
          <w:sz w:val="28"/>
        </w:rPr>
        <w:t>Plenário Cons. PAULO PANET BUARQUE, 12 de fevereiro de 2020.</w:t>
      </w:r>
    </w:p>
    <w:p w:rsidR="00D75DC8" w:rsidRPr="00D75DC8" w:rsidRDefault="00D75DC8" w:rsidP="00D75DC8">
      <w:pPr>
        <w:spacing w:before="0" w:line="240" w:lineRule="auto"/>
        <w:jc w:val="center"/>
        <w:rPr>
          <w:rFonts w:ascii="Times New Roman" w:eastAsia="Times New Roman" w:hAnsi="Times New Roman" w:cs="Times New Roman"/>
          <w:b/>
          <w:sz w:val="28"/>
        </w:rPr>
      </w:pPr>
    </w:p>
    <w:p w:rsidR="00D75DC8" w:rsidRPr="00D75DC8" w:rsidRDefault="00D75DC8" w:rsidP="00D75DC8">
      <w:pPr>
        <w:spacing w:before="0" w:line="240" w:lineRule="auto"/>
        <w:jc w:val="center"/>
        <w:rPr>
          <w:rFonts w:ascii="Times New Roman" w:eastAsia="Times New Roman" w:hAnsi="Times New Roman" w:cs="Times New Roman"/>
          <w:b/>
          <w:sz w:val="28"/>
        </w:rPr>
      </w:pPr>
      <w:r w:rsidRPr="00D75DC8">
        <w:rPr>
          <w:rFonts w:ascii="Times New Roman" w:eastAsia="Times New Roman" w:hAnsi="Times New Roman" w:cs="Times New Roman"/>
          <w:b/>
          <w:sz w:val="28"/>
        </w:rPr>
        <w:t>MAURICIO FARIA</w:t>
      </w:r>
    </w:p>
    <w:p w:rsidR="00D75DC8" w:rsidRPr="00D75DC8" w:rsidRDefault="00D75DC8" w:rsidP="00D75DC8">
      <w:pPr>
        <w:spacing w:before="0" w:line="240" w:lineRule="auto"/>
        <w:jc w:val="center"/>
        <w:rPr>
          <w:rFonts w:ascii="Times New Roman" w:eastAsia="Times New Roman" w:hAnsi="Times New Roman" w:cs="Times New Roman"/>
          <w:b/>
          <w:sz w:val="28"/>
        </w:rPr>
      </w:pPr>
      <w:r w:rsidRPr="00D75DC8">
        <w:rPr>
          <w:rFonts w:ascii="Times New Roman" w:eastAsia="Times New Roman" w:hAnsi="Times New Roman" w:cs="Times New Roman"/>
          <w:b/>
          <w:sz w:val="28"/>
        </w:rPr>
        <w:t>Conselheiro</w:t>
      </w:r>
    </w:p>
    <w:sectPr w:rsidR="00D75DC8" w:rsidRPr="00D75DC8" w:rsidSect="00276112">
      <w:headerReference w:type="default" r:id="rId10"/>
      <w:footerReference w:type="even" r:id="rId11"/>
      <w:footerReference w:type="default" r:id="rId12"/>
      <w:type w:val="continuous"/>
      <w:pgSz w:w="11907" w:h="16840"/>
      <w:pgMar w:top="2268" w:right="1559" w:bottom="1843" w:left="1559" w:header="567" w:footer="1474" w:gutter="0"/>
      <w:pgNumType w:start="1"/>
      <w:cols w:space="709"/>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035" w:rsidRDefault="001D1035">
      <w:r>
        <w:separator/>
      </w:r>
    </w:p>
  </w:endnote>
  <w:endnote w:type="continuationSeparator" w:id="0">
    <w:p w:rsidR="001D1035" w:rsidRDefault="001D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f4">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35" w:rsidRPr="00BF5B62" w:rsidRDefault="001D1035" w:rsidP="00BF5B62">
    <w:pPr>
      <w:pStyle w:val="Rodap"/>
      <w:ind w:left="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6"/>
      <w:gridCol w:w="851"/>
    </w:tblGrid>
    <w:tr w:rsidR="001D1035" w:rsidRPr="005102B9" w:rsidTr="00E7589F">
      <w:tc>
        <w:tcPr>
          <w:tcW w:w="9356" w:type="dxa"/>
          <w:vAlign w:val="center"/>
        </w:tcPr>
        <w:p w:rsidR="001D1035" w:rsidRPr="005102B9" w:rsidRDefault="001D1035" w:rsidP="001E7CC9">
          <w:pPr>
            <w:pStyle w:val="Rodap"/>
          </w:pPr>
          <w:r w:rsidRPr="005102B9">
            <w:t>Cód. 042 (Versão 0</w:t>
          </w:r>
          <w:r>
            <w:t>5</w:t>
          </w:r>
          <w:r w:rsidRPr="005102B9">
            <w:t>)</w:t>
          </w:r>
        </w:p>
      </w:tc>
      <w:tc>
        <w:tcPr>
          <w:tcW w:w="851" w:type="dxa"/>
          <w:vAlign w:val="center"/>
        </w:tcPr>
        <w:p w:rsidR="001D1035" w:rsidRPr="00B83071" w:rsidRDefault="001D1035" w:rsidP="006376F2">
          <w:pPr>
            <w:pStyle w:val="Rodap"/>
            <w:jc w:val="right"/>
            <w:rPr>
              <w:rStyle w:val="Nmerodepgina"/>
            </w:rPr>
          </w:pPr>
          <w:r w:rsidRPr="00B83071">
            <w:rPr>
              <w:rStyle w:val="Nmerodepgina"/>
            </w:rPr>
            <w:fldChar w:fldCharType="begin"/>
          </w:r>
          <w:r w:rsidRPr="00B83071">
            <w:rPr>
              <w:rStyle w:val="Nmerodepgina"/>
            </w:rPr>
            <w:instrText>PAGE   \* MERGEFORMAT</w:instrText>
          </w:r>
          <w:r w:rsidRPr="00B83071">
            <w:rPr>
              <w:rStyle w:val="Nmerodepgina"/>
            </w:rPr>
            <w:fldChar w:fldCharType="separate"/>
          </w:r>
          <w:r w:rsidR="00463BE5">
            <w:rPr>
              <w:rStyle w:val="Nmerodepgina"/>
              <w:noProof/>
            </w:rPr>
            <w:t>1</w:t>
          </w:r>
          <w:r w:rsidRPr="00B83071">
            <w:rPr>
              <w:rStyle w:val="Nmerodepgina"/>
            </w:rPr>
            <w:fldChar w:fldCharType="end"/>
          </w:r>
        </w:p>
      </w:tc>
    </w:tr>
  </w:tbl>
  <w:p w:rsidR="001D1035" w:rsidRPr="006B5140" w:rsidRDefault="001D1035" w:rsidP="009121BE">
    <w:pPr>
      <w:pStyle w:val="auxiliar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035" w:rsidRDefault="001D1035">
      <w:r>
        <w:separator/>
      </w:r>
    </w:p>
  </w:footnote>
  <w:footnote w:type="continuationSeparator" w:id="0">
    <w:p w:rsidR="001D1035" w:rsidRDefault="001D1035">
      <w:r>
        <w:continuationSeparator/>
      </w:r>
    </w:p>
  </w:footnote>
  <w:footnote w:id="1">
    <w:p w:rsidR="001D1035" w:rsidRDefault="001D1035" w:rsidP="00600ED6">
      <w:pPr>
        <w:pStyle w:val="Textodenotaderodap"/>
        <w:jc w:val="both"/>
      </w:pPr>
      <w:r>
        <w:rPr>
          <w:rStyle w:val="Refdenotaderodap"/>
        </w:rPr>
        <w:footnoteRef/>
      </w:r>
      <w:r>
        <w:t xml:space="preserve"> </w:t>
      </w:r>
      <w:r w:rsidRPr="00600ED6">
        <w:rPr>
          <w:sz w:val="16"/>
          <w:szCs w:val="16"/>
        </w:rPr>
        <w:t>Araújo, Ciro José Ribeiro Villela. “Principais aspectos abordados na ABNT NBR 9452:2016”. Revista Técnica do IPT</w:t>
      </w:r>
      <w:r w:rsidRPr="00600ED6">
        <w:rPr>
          <w:sz w:val="16"/>
          <w:szCs w:val="16"/>
        </w:rPr>
        <w:footnoteRef/>
      </w:r>
      <w:r w:rsidRPr="00600ED6">
        <w:rPr>
          <w:sz w:val="16"/>
          <w:szCs w:val="16"/>
        </w:rPr>
        <w:t xml:space="preserve"> – Instituto de Pesquisas Tecnológicas. v.1, n.5, ago., 2017</w:t>
      </w:r>
    </w:p>
  </w:footnote>
  <w:footnote w:id="2">
    <w:p w:rsidR="00770AA8" w:rsidRDefault="00770AA8">
      <w:pPr>
        <w:pStyle w:val="Textodenotaderodap"/>
      </w:pPr>
      <w:r>
        <w:rPr>
          <w:rStyle w:val="Refdenotaderodap"/>
        </w:rPr>
        <w:footnoteRef/>
      </w:r>
      <w:r>
        <w:t xml:space="preserve"> </w:t>
      </w:r>
      <w:r w:rsidRPr="00C37940">
        <w:t>https://boselli.com.br/04032018-tce-sc-cobra-explicacoes-do-deinfra-sobre-licitacao-de-obras-na-colombo-salles-e-pedro-ivo/</w:t>
      </w:r>
    </w:p>
  </w:footnote>
  <w:footnote w:id="3">
    <w:p w:rsidR="00770AA8" w:rsidRDefault="00770AA8">
      <w:pPr>
        <w:pStyle w:val="Textodenotaderodap"/>
      </w:pPr>
      <w:r>
        <w:rPr>
          <w:rStyle w:val="Refdenotaderodap"/>
        </w:rPr>
        <w:footnoteRef/>
      </w:r>
      <w:r>
        <w:t xml:space="preserve"> </w:t>
      </w:r>
      <w:r w:rsidRPr="00787179">
        <w:t>https://g1.globo.com/sc/santa-catarina/noticia/2018/08/08/tce-autoriza-retomada-de-edital-para-fiscalizacao-das-reformas-nas-pontes-pedro-ivo-e-colombo-salles.ghtml</w:t>
      </w:r>
    </w:p>
  </w:footnote>
  <w:footnote w:id="4">
    <w:p w:rsidR="001D1035" w:rsidRPr="005900CB" w:rsidRDefault="001D1035" w:rsidP="005900CB">
      <w:pPr>
        <w:spacing w:before="0" w:after="200" w:line="240" w:lineRule="auto"/>
        <w:jc w:val="both"/>
        <w:rPr>
          <w:rFonts w:ascii="Times New Roman" w:eastAsiaTheme="minorHAnsi" w:hAnsi="Times New Roman" w:cs="Times New Roman"/>
          <w:b/>
          <w:sz w:val="16"/>
          <w:szCs w:val="16"/>
          <w:lang w:eastAsia="en-US"/>
        </w:rPr>
      </w:pPr>
      <w:r>
        <w:rPr>
          <w:rStyle w:val="Refdenotaderodap"/>
        </w:rPr>
        <w:footnoteRef/>
      </w:r>
      <w:r>
        <w:t xml:space="preserve"> </w:t>
      </w:r>
      <w:r w:rsidRPr="005900CB">
        <w:rPr>
          <w:rFonts w:ascii="Times New Roman" w:eastAsiaTheme="minorHAnsi" w:hAnsi="Times New Roman" w:cs="Times New Roman"/>
          <w:b/>
          <w:sz w:val="16"/>
          <w:szCs w:val="16"/>
          <w:lang w:eastAsia="en-US"/>
        </w:rPr>
        <w:t xml:space="preserve">3.4.    </w:t>
      </w:r>
      <w:r w:rsidRPr="005900CB">
        <w:rPr>
          <w:rFonts w:ascii="Times New Roman" w:eastAsiaTheme="minorHAnsi" w:hAnsi="Times New Roman" w:cs="Times New Roman"/>
          <w:b/>
          <w:sz w:val="16"/>
          <w:szCs w:val="16"/>
          <w:lang w:eastAsia="en-US"/>
        </w:rPr>
        <w:tab/>
        <w:t xml:space="preserve">Poderão participar </w:t>
      </w:r>
      <w:r w:rsidRPr="0058197C">
        <w:rPr>
          <w:rFonts w:ascii="Times New Roman" w:eastAsiaTheme="minorHAnsi" w:hAnsi="Times New Roman" w:cs="Times New Roman"/>
          <w:b/>
          <w:sz w:val="16"/>
          <w:szCs w:val="16"/>
          <w:lang w:eastAsia="en-US"/>
        </w:rPr>
        <w:t>empresas individualmente ou reunidas em consórcio, limitada a composição de até 3 empresas, no obedecidas as regras estipuladas no item 19 deste edital.</w:t>
      </w:r>
    </w:p>
    <w:p w:rsidR="001D1035" w:rsidRPr="005900CB" w:rsidRDefault="001D1035" w:rsidP="005900CB">
      <w:pPr>
        <w:spacing w:before="0" w:after="200" w:line="240" w:lineRule="auto"/>
        <w:jc w:val="both"/>
        <w:rPr>
          <w:rFonts w:ascii="Times New Roman" w:eastAsiaTheme="minorHAnsi" w:hAnsi="Times New Roman" w:cs="Times New Roman"/>
          <w:b/>
          <w:sz w:val="16"/>
          <w:szCs w:val="16"/>
          <w:lang w:eastAsia="en-US"/>
        </w:rPr>
      </w:pPr>
      <w:r w:rsidRPr="005900CB">
        <w:rPr>
          <w:rFonts w:ascii="Times New Roman" w:eastAsiaTheme="minorHAnsi" w:hAnsi="Times New Roman" w:cs="Times New Roman"/>
          <w:b/>
          <w:sz w:val="16"/>
          <w:szCs w:val="16"/>
          <w:lang w:eastAsia="en-US"/>
        </w:rPr>
        <w:t>14.1.     A Contratada, na execução do contrato, sem prejuízo das responsabilidades contratuais e legais, poderá subcontratar partes dos serviços até o limite de 30% do valor inicial do contrato, desde que previamente autorizada pela Contratante.</w:t>
      </w:r>
    </w:p>
    <w:p w:rsidR="001D1035" w:rsidRDefault="001D1035">
      <w:pPr>
        <w:pStyle w:val="Textodenotaderodap"/>
      </w:pPr>
    </w:p>
  </w:footnote>
  <w:footnote w:id="5">
    <w:p w:rsidR="001D1035" w:rsidRPr="0037334E" w:rsidRDefault="001D1035" w:rsidP="0037334E">
      <w:pPr>
        <w:spacing w:before="0" w:line="276" w:lineRule="auto"/>
        <w:ind w:left="142"/>
        <w:jc w:val="both"/>
        <w:rPr>
          <w:rFonts w:ascii="Times New Roman" w:eastAsia="Times New Roman" w:hAnsi="Times New Roman" w:cs="Times New Roman"/>
          <w:sz w:val="16"/>
          <w:szCs w:val="16"/>
        </w:rPr>
      </w:pPr>
      <w:r>
        <w:rPr>
          <w:rStyle w:val="Refdenotaderodap"/>
        </w:rPr>
        <w:footnoteRef/>
      </w:r>
      <w:r>
        <w:t xml:space="preserve"> </w:t>
      </w:r>
      <w:r w:rsidRPr="0037334E">
        <w:rPr>
          <w:rFonts w:ascii="Times New Roman" w:eastAsia="Times New Roman" w:hAnsi="Times New Roman" w:cs="Times New Roman"/>
          <w:sz w:val="16"/>
          <w:szCs w:val="16"/>
        </w:rPr>
        <w:t>“d) A faixa de variação possível da nota de preço deve ser a mesma da nota técnica, de forma a não distorcer os pesos relativos utilizados para definição da Classificação Final (70% para técnica e 30% para preço). Para regular a faixa de variação possível de notas em determinada licitação, utilizamos na fórmula proposta um fator hipotético de 70, imaginando que a VALEC poderia então variar a nota técnica de 70 a 100 também (ou de 50 a 100 se preferir). A variação deste fator apenas altera a faixa de variação das notas atribuídas, por exemplo:</w:t>
      </w:r>
    </w:p>
    <w:p w:rsidR="001D1035" w:rsidRPr="0037334E" w:rsidRDefault="001D1035" w:rsidP="0037334E">
      <w:pPr>
        <w:spacing w:before="0" w:line="276" w:lineRule="auto"/>
        <w:ind w:left="142"/>
        <w:jc w:val="both"/>
        <w:rPr>
          <w:rFonts w:ascii="Times New Roman" w:eastAsia="Times New Roman" w:hAnsi="Times New Roman" w:cs="Times New Roman"/>
          <w:sz w:val="16"/>
          <w:szCs w:val="16"/>
        </w:rPr>
      </w:pPr>
    </w:p>
    <w:p w:rsidR="001D1035" w:rsidRPr="0037334E" w:rsidRDefault="001D1035" w:rsidP="0037334E">
      <w:pPr>
        <w:spacing w:before="0" w:line="276" w:lineRule="auto"/>
        <w:ind w:left="142"/>
        <w:jc w:val="both"/>
        <w:rPr>
          <w:rFonts w:ascii="Times New Roman" w:eastAsia="Times New Roman" w:hAnsi="Times New Roman" w:cs="Times New Roman"/>
          <w:sz w:val="16"/>
          <w:szCs w:val="16"/>
        </w:rPr>
      </w:pPr>
      <w:r w:rsidRPr="0037334E">
        <w:rPr>
          <w:rFonts w:ascii="Times New Roman" w:eastAsia="Times New Roman" w:hAnsi="Times New Roman" w:cs="Times New Roman"/>
          <w:sz w:val="16"/>
          <w:szCs w:val="16"/>
        </w:rPr>
        <w:t>NPPI = 100 - {[(Pi-Pcrt)/(Ved-Pcrt)] x 100 } - Nota mínima 0, nota máxima 100.</w:t>
      </w:r>
    </w:p>
    <w:p w:rsidR="001D1035" w:rsidRPr="0037334E" w:rsidRDefault="001D1035" w:rsidP="0037334E">
      <w:pPr>
        <w:spacing w:before="0" w:line="276" w:lineRule="auto"/>
        <w:ind w:left="142"/>
        <w:jc w:val="both"/>
        <w:rPr>
          <w:rFonts w:ascii="Times New Roman" w:eastAsia="Times New Roman" w:hAnsi="Times New Roman" w:cs="Times New Roman"/>
          <w:sz w:val="16"/>
          <w:szCs w:val="16"/>
        </w:rPr>
      </w:pPr>
      <w:r w:rsidRPr="0037334E">
        <w:rPr>
          <w:rFonts w:ascii="Times New Roman" w:eastAsia="Times New Roman" w:hAnsi="Times New Roman" w:cs="Times New Roman"/>
          <w:sz w:val="16"/>
          <w:szCs w:val="16"/>
        </w:rPr>
        <w:t>NPPI = 100 - { [ (Pi-Pcrt) / (Ved-Pcrt) ] x 50 } - Nota mínima 50, nota máxima 100.</w:t>
      </w:r>
    </w:p>
    <w:p w:rsidR="001D1035" w:rsidRPr="0037334E" w:rsidRDefault="001D1035" w:rsidP="0037334E">
      <w:pPr>
        <w:spacing w:before="0" w:line="276" w:lineRule="auto"/>
        <w:ind w:left="142"/>
        <w:jc w:val="both"/>
        <w:rPr>
          <w:rFonts w:ascii="Times New Roman" w:eastAsia="Times New Roman" w:hAnsi="Times New Roman" w:cs="Times New Roman"/>
          <w:sz w:val="16"/>
          <w:szCs w:val="16"/>
        </w:rPr>
      </w:pPr>
      <w:r w:rsidRPr="0037334E">
        <w:rPr>
          <w:rFonts w:ascii="Times New Roman" w:eastAsia="Times New Roman" w:hAnsi="Times New Roman" w:cs="Times New Roman"/>
          <w:sz w:val="16"/>
          <w:szCs w:val="16"/>
        </w:rPr>
        <w:t>NPPI  = 1 00 - { [ (Pi-Pcrt) / (Ved-Pcrt) ] x 30 } - Nota mínima 70, nota máxima 100.</w:t>
      </w:r>
    </w:p>
    <w:p w:rsidR="001D1035" w:rsidRPr="0037334E" w:rsidRDefault="001D1035" w:rsidP="0037334E">
      <w:pPr>
        <w:spacing w:before="0" w:line="276" w:lineRule="auto"/>
        <w:ind w:left="142"/>
        <w:jc w:val="both"/>
        <w:rPr>
          <w:rFonts w:ascii="Times New Roman" w:eastAsia="Times New Roman" w:hAnsi="Times New Roman" w:cs="Times New Roman"/>
          <w:sz w:val="16"/>
          <w:szCs w:val="16"/>
        </w:rPr>
      </w:pPr>
    </w:p>
    <w:p w:rsidR="001D1035" w:rsidRPr="0037334E" w:rsidRDefault="001D1035" w:rsidP="0037334E">
      <w:pPr>
        <w:spacing w:before="0" w:line="276" w:lineRule="auto"/>
        <w:ind w:left="142"/>
        <w:jc w:val="both"/>
        <w:rPr>
          <w:rFonts w:ascii="Times New Roman" w:eastAsia="Times New Roman" w:hAnsi="Times New Roman" w:cs="Times New Roman"/>
          <w:sz w:val="16"/>
          <w:szCs w:val="16"/>
        </w:rPr>
      </w:pPr>
      <w:r w:rsidRPr="0037334E">
        <w:rPr>
          <w:rFonts w:ascii="Times New Roman" w:eastAsia="Times New Roman" w:hAnsi="Times New Roman" w:cs="Times New Roman"/>
          <w:sz w:val="16"/>
          <w:szCs w:val="16"/>
        </w:rPr>
        <w:t>O valor [(Pi-Pcrt) / (Ved-Pcrt)] varia necessariamente entre zero e um. A nota mínima seria a nota de uma proposta que apresente o mesmo valor que o edital. A nota máxima seria a nota de uma proposta que apresente o valor igual ao preço de corte, de acordo com o item "f' abaixo.</w:t>
      </w:r>
    </w:p>
    <w:p w:rsidR="001D1035" w:rsidRPr="0037334E" w:rsidRDefault="001D1035" w:rsidP="0037334E">
      <w:pPr>
        <w:spacing w:before="0" w:line="276" w:lineRule="auto"/>
        <w:ind w:left="142"/>
        <w:jc w:val="both"/>
        <w:rPr>
          <w:rFonts w:ascii="Times New Roman" w:eastAsia="Times New Roman" w:hAnsi="Times New Roman" w:cs="Times New Roman"/>
          <w:sz w:val="16"/>
          <w:szCs w:val="16"/>
        </w:rPr>
      </w:pPr>
    </w:p>
    <w:p w:rsidR="001D1035" w:rsidRPr="0037334E" w:rsidRDefault="001D1035" w:rsidP="0037334E">
      <w:pPr>
        <w:spacing w:before="0" w:line="276" w:lineRule="auto"/>
        <w:ind w:left="142"/>
        <w:jc w:val="both"/>
        <w:rPr>
          <w:rFonts w:ascii="Times New Roman" w:eastAsia="Times New Roman" w:hAnsi="Times New Roman" w:cs="Times New Roman"/>
          <w:sz w:val="16"/>
          <w:szCs w:val="16"/>
        </w:rPr>
      </w:pPr>
      <w:r w:rsidRPr="0037334E">
        <w:rPr>
          <w:rFonts w:ascii="Times New Roman" w:eastAsia="Times New Roman" w:hAnsi="Times New Roman" w:cs="Times New Roman"/>
          <w:sz w:val="16"/>
          <w:szCs w:val="16"/>
        </w:rPr>
        <w:t>Salienta-se, então, que ambas as notas, técnica e de preço, devem variar na mesma faixa, seja ela de zero a cem, cinquenta a cem, ou qualquer outra, desde que igual par as duas.”</w:t>
      </w:r>
    </w:p>
    <w:p w:rsidR="001D1035" w:rsidRDefault="001D1035">
      <w:pPr>
        <w:pStyle w:val="Textodenotaderodap"/>
      </w:pPr>
    </w:p>
  </w:footnote>
  <w:footnote w:id="6">
    <w:p w:rsidR="001D1035" w:rsidRDefault="001D1035">
      <w:pPr>
        <w:pStyle w:val="Textodenotaderodap"/>
      </w:pPr>
      <w:r>
        <w:rPr>
          <w:rStyle w:val="Refdenotaderodap"/>
        </w:rPr>
        <w:footnoteRef/>
      </w:r>
      <w:r>
        <w:t xml:space="preserve"> </w:t>
      </w:r>
      <w:r w:rsidRPr="00BC01CC">
        <w:rPr>
          <w:rFonts w:ascii="Times New Roman" w:eastAsia="Times New Roman" w:hAnsi="Times New Roman" w:cs="Times New Roman"/>
          <w:sz w:val="16"/>
          <w:szCs w:val="16"/>
        </w:rPr>
        <w:t xml:space="preserve">“Comentários à Lei de Licitações </w:t>
      </w:r>
      <w:r>
        <w:rPr>
          <w:rFonts w:ascii="Times New Roman" w:eastAsia="Times New Roman" w:hAnsi="Times New Roman" w:cs="Times New Roman"/>
          <w:sz w:val="16"/>
          <w:szCs w:val="16"/>
        </w:rPr>
        <w:t xml:space="preserve">e Contratos Administrativos” . </w:t>
      </w:r>
      <w:r w:rsidRPr="00BC01CC">
        <w:rPr>
          <w:rFonts w:ascii="Times New Roman" w:eastAsia="Times New Roman" w:hAnsi="Times New Roman" w:cs="Times New Roman"/>
          <w:sz w:val="16"/>
          <w:szCs w:val="16"/>
        </w:rPr>
        <w:t>16ª. ed. rev., atual. e ampl. – São Paulo: Editora Revista dos Tribunais, 2014, p. 847</w:t>
      </w:r>
    </w:p>
  </w:footnote>
  <w:footnote w:id="7">
    <w:p w:rsidR="001D1035" w:rsidRDefault="001D1035">
      <w:pPr>
        <w:pStyle w:val="Textodenotaderodap"/>
      </w:pPr>
      <w:r>
        <w:rPr>
          <w:rStyle w:val="Refdenotaderodap"/>
        </w:rPr>
        <w:footnoteRef/>
      </w:r>
      <w:r>
        <w:t xml:space="preserve"> </w:t>
      </w:r>
      <w:hyperlink r:id="rId1" w:history="1">
        <w:r>
          <w:rPr>
            <w:rStyle w:val="Hyperlink"/>
          </w:rPr>
          <w:t>http://sinaenco.com.br/campanhas/tac-termo-de-ajuste-de-conduta-2007/</w:t>
        </w:r>
      </w:hyperlink>
    </w:p>
  </w:footnote>
  <w:footnote w:id="8">
    <w:p w:rsidR="001D1035" w:rsidRDefault="001D1035">
      <w:pPr>
        <w:pStyle w:val="Textodenotaderodap"/>
      </w:pPr>
      <w:r>
        <w:rPr>
          <w:rStyle w:val="Refdenotaderodap"/>
        </w:rPr>
        <w:footnoteRef/>
      </w:r>
      <w:r>
        <w:t xml:space="preserve"> </w:t>
      </w:r>
      <w:hyperlink r:id="rId2" w:history="1">
        <w:r>
          <w:rPr>
            <w:rStyle w:val="Hyperlink"/>
          </w:rPr>
          <w:t>http://sinaenco.com.br/campanhas/campanha-pela-manutencao-do-ambiente-construido-sao-paulo/</w:t>
        </w:r>
      </w:hyperlink>
    </w:p>
  </w:footnote>
  <w:footnote w:id="9">
    <w:p w:rsidR="001D1035" w:rsidRDefault="001D1035">
      <w:pPr>
        <w:pStyle w:val="Textodenotaderodap"/>
      </w:pPr>
      <w:r>
        <w:rPr>
          <w:rStyle w:val="Refdenotaderodap"/>
        </w:rPr>
        <w:footnoteRef/>
      </w:r>
      <w:r>
        <w:t xml:space="preserve"> </w:t>
      </w:r>
      <w:r w:rsidRPr="00B1732E">
        <w:rPr>
          <w:rFonts w:ascii="Times New Roman" w:eastAsia="Times New Roman" w:hAnsi="Times New Roman" w:cs="Times New Roman"/>
          <w:sz w:val="16"/>
          <w:szCs w:val="16"/>
        </w:rPr>
        <w:t>Acórdão proferido em 20 de fevereiro de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7" w:type="dxa"/>
      <w:tblInd w:w="-709" w:type="dxa"/>
      <w:tblLayout w:type="fixed"/>
      <w:tblCellMar>
        <w:left w:w="0" w:type="dxa"/>
        <w:right w:w="0" w:type="dxa"/>
      </w:tblCellMar>
      <w:tblLook w:val="0000" w:firstRow="0" w:lastRow="0" w:firstColumn="0" w:lastColumn="0" w:noHBand="0" w:noVBand="0"/>
    </w:tblPr>
    <w:tblGrid>
      <w:gridCol w:w="2694"/>
      <w:gridCol w:w="7513"/>
    </w:tblGrid>
    <w:tr w:rsidR="001D1035" w:rsidTr="005E2E1B">
      <w:trPr>
        <w:trHeight w:hRule="exact" w:val="1134"/>
      </w:trPr>
      <w:tc>
        <w:tcPr>
          <w:tcW w:w="2694" w:type="dxa"/>
        </w:tcPr>
        <w:p w:rsidR="001D1035" w:rsidRPr="00081E47" w:rsidRDefault="001D1035" w:rsidP="005E2E1B">
          <w:pPr>
            <w:spacing w:before="0" w:line="240" w:lineRule="auto"/>
            <w:rPr>
              <w:rFonts w:ascii="Times New Roman" w:hAnsi="Times New Roman" w:cs="Times New Roman"/>
              <w:b/>
              <w:bCs/>
              <w:sz w:val="12"/>
              <w:szCs w:val="12"/>
            </w:rPr>
          </w:pPr>
          <w:r>
            <w:rPr>
              <w:noProof/>
            </w:rPr>
            <w:drawing>
              <wp:inline distT="0" distB="0" distL="0" distR="0" wp14:anchorId="4B51631D" wp14:editId="0C541FC9">
                <wp:extent cx="1497600" cy="720000"/>
                <wp:effectExtent l="0" t="0" r="7620"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600" cy="720000"/>
                        </a:xfrm>
                        <a:prstGeom prst="rect">
                          <a:avLst/>
                        </a:prstGeom>
                        <a:noFill/>
                        <a:ln>
                          <a:noFill/>
                        </a:ln>
                      </pic:spPr>
                    </pic:pic>
                  </a:graphicData>
                </a:graphic>
              </wp:inline>
            </w:drawing>
          </w:r>
        </w:p>
      </w:tc>
      <w:tc>
        <w:tcPr>
          <w:tcW w:w="7513" w:type="dxa"/>
          <w:vAlign w:val="center"/>
        </w:tcPr>
        <w:p w:rsidR="001D1035" w:rsidRPr="008E5BAC" w:rsidRDefault="001D1035" w:rsidP="002304C1">
          <w:pPr>
            <w:pStyle w:val="Descrio"/>
            <w:tabs>
              <w:tab w:val="clear" w:pos="8040"/>
            </w:tabs>
          </w:pPr>
        </w:p>
      </w:tc>
    </w:tr>
  </w:tbl>
  <w:p w:rsidR="001D1035" w:rsidRDefault="001D1035" w:rsidP="0083758B">
    <w:pPr>
      <w:pStyle w:val="auxiliar1"/>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74FF"/>
    <w:multiLevelType w:val="multilevel"/>
    <w:tmpl w:val="51A452E2"/>
    <w:lvl w:ilvl="0">
      <w:start w:val="8"/>
      <w:numFmt w:val="decimal"/>
      <w:lvlText w:val="%1"/>
      <w:lvlJc w:val="left"/>
      <w:pPr>
        <w:ind w:left="555" w:hanging="555"/>
      </w:pPr>
      <w:rPr>
        <w:rFonts w:hint="default"/>
      </w:rPr>
    </w:lvl>
    <w:lvl w:ilvl="1">
      <w:start w:val="1"/>
      <w:numFmt w:val="decimal"/>
      <w:lvlText w:val="%1.%2"/>
      <w:lvlJc w:val="left"/>
      <w:pPr>
        <w:ind w:left="907" w:hanging="555"/>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
    <w:nsid w:val="0B282441"/>
    <w:multiLevelType w:val="hybridMultilevel"/>
    <w:tmpl w:val="D2A220F0"/>
    <w:lvl w:ilvl="0" w:tplc="A20C4E4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nsid w:val="0BE62AB3"/>
    <w:multiLevelType w:val="hybridMultilevel"/>
    <w:tmpl w:val="86C00F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7861B62"/>
    <w:multiLevelType w:val="hybridMultilevel"/>
    <w:tmpl w:val="E35CCC62"/>
    <w:lvl w:ilvl="0" w:tplc="87AC405E">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1A893E4A"/>
    <w:multiLevelType w:val="hybridMultilevel"/>
    <w:tmpl w:val="CF3E0442"/>
    <w:lvl w:ilvl="0" w:tplc="04160013">
      <w:start w:val="1"/>
      <w:numFmt w:val="upperRoman"/>
      <w:lvlText w:val="%1."/>
      <w:lvlJc w:val="right"/>
      <w:pPr>
        <w:ind w:left="1920" w:hanging="360"/>
      </w:pPr>
      <w:rPr>
        <w:rFonts w:hint="default"/>
      </w:rPr>
    </w:lvl>
    <w:lvl w:ilvl="1" w:tplc="04160003">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62646D4"/>
    <w:multiLevelType w:val="hybridMultilevel"/>
    <w:tmpl w:val="5718B2AE"/>
    <w:lvl w:ilvl="0" w:tplc="00000000">
      <w:start w:val="2"/>
      <w:numFmt w:val="decimal"/>
      <w:lvlText w:val="%1."/>
      <w:lvlJc w:val="left"/>
      <w:pPr>
        <w:ind w:left="1854" w:hanging="360"/>
      </w:pPr>
      <w:rPr>
        <w:rFonts w:ascii="Times New Roman" w:hAnsi="Times New Roman" w:cs="Times New Roman"/>
        <w:sz w:val="24"/>
      </w:rPr>
    </w:lvl>
    <w:lvl w:ilvl="1" w:tplc="00000001">
      <w:start w:val="1"/>
      <w:numFmt w:val="lowerLetter"/>
      <w:lvlText w:val="%2."/>
      <w:lvlJc w:val="left"/>
      <w:pPr>
        <w:ind w:left="2574" w:hanging="360"/>
      </w:pPr>
      <w:rPr>
        <w:rFonts w:cs="Times New Roman"/>
      </w:rPr>
    </w:lvl>
    <w:lvl w:ilvl="2" w:tplc="00000002">
      <w:start w:val="1"/>
      <w:numFmt w:val="lowerRoman"/>
      <w:lvlText w:val="%3."/>
      <w:lvlJc w:val="right"/>
      <w:pPr>
        <w:ind w:left="3294" w:hanging="180"/>
      </w:pPr>
      <w:rPr>
        <w:rFonts w:cs="Times New Roman"/>
      </w:rPr>
    </w:lvl>
    <w:lvl w:ilvl="3" w:tplc="00000003">
      <w:start w:val="1"/>
      <w:numFmt w:val="decimal"/>
      <w:lvlText w:val="%4."/>
      <w:lvlJc w:val="left"/>
      <w:pPr>
        <w:ind w:left="4014" w:hanging="360"/>
      </w:pPr>
      <w:rPr>
        <w:rFonts w:cs="Times New Roman"/>
      </w:rPr>
    </w:lvl>
    <w:lvl w:ilvl="4" w:tplc="00000004">
      <w:start w:val="1"/>
      <w:numFmt w:val="lowerLetter"/>
      <w:lvlText w:val="%5."/>
      <w:lvlJc w:val="left"/>
      <w:pPr>
        <w:ind w:left="4734" w:hanging="360"/>
      </w:pPr>
      <w:rPr>
        <w:rFonts w:cs="Times New Roman"/>
      </w:rPr>
    </w:lvl>
    <w:lvl w:ilvl="5" w:tplc="00000005">
      <w:start w:val="1"/>
      <w:numFmt w:val="lowerRoman"/>
      <w:lvlText w:val="%6."/>
      <w:lvlJc w:val="right"/>
      <w:pPr>
        <w:ind w:left="5454" w:hanging="180"/>
      </w:pPr>
      <w:rPr>
        <w:rFonts w:cs="Times New Roman"/>
      </w:rPr>
    </w:lvl>
    <w:lvl w:ilvl="6" w:tplc="00000006">
      <w:start w:val="1"/>
      <w:numFmt w:val="decimal"/>
      <w:lvlText w:val="%7."/>
      <w:lvlJc w:val="left"/>
      <w:pPr>
        <w:ind w:left="6174" w:hanging="360"/>
      </w:pPr>
      <w:rPr>
        <w:rFonts w:cs="Times New Roman"/>
      </w:rPr>
    </w:lvl>
    <w:lvl w:ilvl="7" w:tplc="00000007">
      <w:start w:val="1"/>
      <w:numFmt w:val="lowerLetter"/>
      <w:lvlText w:val="%8."/>
      <w:lvlJc w:val="left"/>
      <w:pPr>
        <w:ind w:left="6894" w:hanging="360"/>
      </w:pPr>
      <w:rPr>
        <w:rFonts w:cs="Times New Roman"/>
      </w:rPr>
    </w:lvl>
    <w:lvl w:ilvl="8" w:tplc="00000008">
      <w:start w:val="1"/>
      <w:numFmt w:val="lowerRoman"/>
      <w:lvlText w:val="%9."/>
      <w:lvlJc w:val="right"/>
      <w:pPr>
        <w:ind w:left="7614" w:hanging="180"/>
      </w:pPr>
      <w:rPr>
        <w:rFonts w:cs="Times New Roman"/>
      </w:rPr>
    </w:lvl>
  </w:abstractNum>
  <w:abstractNum w:abstractNumId="6">
    <w:nsid w:val="285A32BC"/>
    <w:multiLevelType w:val="multilevel"/>
    <w:tmpl w:val="297497BE"/>
    <w:lvl w:ilvl="0">
      <w:start w:val="1"/>
      <w:numFmt w:val="decimal"/>
      <w:lvlText w:val="%1."/>
      <w:lvlJc w:val="left"/>
      <w:pPr>
        <w:ind w:left="567" w:hanging="425"/>
      </w:pPr>
      <w:rPr>
        <w:rFonts w:ascii="Arial" w:hAnsi="Arial" w:cs="Arial" w:hint="default"/>
        <w:sz w:val="24"/>
        <w:szCs w:val="24"/>
      </w:rPr>
    </w:lvl>
    <w:lvl w:ilvl="1">
      <w:start w:val="1"/>
      <w:numFmt w:val="decimal"/>
      <w:lvlText w:val="%1.%2."/>
      <w:lvlJc w:val="left"/>
      <w:pPr>
        <w:ind w:left="709" w:hanging="567"/>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709"/>
      </w:pPr>
      <w:rPr>
        <w:rFonts w:hint="default"/>
      </w:rPr>
    </w:lvl>
    <w:lvl w:ilvl="3">
      <w:start w:val="1"/>
      <w:numFmt w:val="lowerLetter"/>
      <w:lvlText w:val="%4)"/>
      <w:lvlJc w:val="left"/>
      <w:pPr>
        <w:ind w:left="1418" w:hanging="426"/>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5C04F44"/>
    <w:multiLevelType w:val="hybridMultilevel"/>
    <w:tmpl w:val="2D4C1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89318D6"/>
    <w:multiLevelType w:val="hybridMultilevel"/>
    <w:tmpl w:val="8BFE0ACA"/>
    <w:lvl w:ilvl="0" w:tplc="5A7E189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nsid w:val="5E506519"/>
    <w:multiLevelType w:val="hybridMultilevel"/>
    <w:tmpl w:val="232A4A62"/>
    <w:lvl w:ilvl="0" w:tplc="03AE93AE">
      <w:start w:val="4"/>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0">
    <w:nsid w:val="665103BE"/>
    <w:multiLevelType w:val="hybridMultilevel"/>
    <w:tmpl w:val="9BD27898"/>
    <w:lvl w:ilvl="0" w:tplc="FB626AAE">
      <w:start w:val="1"/>
      <w:numFmt w:val="bullet"/>
      <w:pStyle w:val="ItemManifestacao"/>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1">
    <w:nsid w:val="6AF50757"/>
    <w:multiLevelType w:val="multilevel"/>
    <w:tmpl w:val="FDFEB236"/>
    <w:lvl w:ilvl="0">
      <w:start w:val="1"/>
      <w:numFmt w:val="decimal"/>
      <w:pStyle w:val="Ttulo1"/>
      <w:lvlText w:val="%1."/>
      <w:lvlJc w:val="left"/>
      <w:pPr>
        <w:ind w:left="502" w:hanging="360"/>
      </w:pPr>
      <w:rPr>
        <w:rFonts w:hint="default"/>
      </w:rPr>
    </w:lvl>
    <w:lvl w:ilvl="1">
      <w:start w:val="1"/>
      <w:numFmt w:val="decimal"/>
      <w:pStyle w:val="Ttulo2"/>
      <w:isLgl/>
      <w:lvlText w:val="%1.%2."/>
      <w:lvlJc w:val="left"/>
      <w:pPr>
        <w:ind w:left="862"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isLgl/>
      <w:lvlText w:val="%1.%2.%3."/>
      <w:lvlJc w:val="left"/>
      <w:pPr>
        <w:ind w:left="862" w:hanging="720"/>
      </w:pPr>
      <w:rPr>
        <w:rFonts w:hint="default"/>
      </w:rPr>
    </w:lvl>
    <w:lvl w:ilvl="3">
      <w:start w:val="1"/>
      <w:numFmt w:val="decimal"/>
      <w:pStyle w:val="Ttulo4"/>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2">
    <w:nsid w:val="6D21526F"/>
    <w:multiLevelType w:val="multilevel"/>
    <w:tmpl w:val="AFD0585C"/>
    <w:lvl w:ilvl="0">
      <w:start w:val="1"/>
      <w:numFmt w:val="bullet"/>
      <w:pStyle w:val="Itemizao"/>
      <w:lvlText w:val=""/>
      <w:lvlJc w:val="left"/>
      <w:pPr>
        <w:ind w:left="360" w:hanging="360"/>
      </w:pPr>
      <w:rPr>
        <w:rFonts w:ascii="Symbol" w:hAnsi="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B1702A3"/>
    <w:multiLevelType w:val="hybridMultilevel"/>
    <w:tmpl w:val="93DCCBBA"/>
    <w:lvl w:ilvl="0" w:tplc="E37EEAF6">
      <w:start w:val="1"/>
      <w:numFmt w:val="decimalZero"/>
      <w:lvlText w:val="%1)"/>
      <w:lvlJc w:val="left"/>
      <w:pPr>
        <w:ind w:left="2091" w:hanging="39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9"/>
  </w:num>
  <w:num w:numId="2">
    <w:abstractNumId w:val="6"/>
    <w:lvlOverride w:ilvl="0">
      <w:startOverride w:val="3"/>
    </w:lvlOverride>
  </w:num>
  <w:num w:numId="3">
    <w:abstractNumId w:val="12"/>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0"/>
  </w:num>
  <w:num w:numId="15">
    <w:abstractNumId w:val="7"/>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
  </w:num>
  <w:num w:numId="29">
    <w:abstractNumId w:val="3"/>
  </w:num>
  <w:num w:numId="3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0"/>
  </w:num>
  <w:num w:numId="33">
    <w:abstractNumId w:val="4"/>
  </w:num>
  <w:num w:numId="34">
    <w:abstractNumId w:val="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49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A2B"/>
    <w:rsid w:val="000066A3"/>
    <w:rsid w:val="0001595D"/>
    <w:rsid w:val="000175B3"/>
    <w:rsid w:val="000338FE"/>
    <w:rsid w:val="00054DDC"/>
    <w:rsid w:val="00056C4F"/>
    <w:rsid w:val="0005755D"/>
    <w:rsid w:val="00060DAE"/>
    <w:rsid w:val="000659DA"/>
    <w:rsid w:val="000679C7"/>
    <w:rsid w:val="00070491"/>
    <w:rsid w:val="00081E47"/>
    <w:rsid w:val="0008448B"/>
    <w:rsid w:val="000B55DA"/>
    <w:rsid w:val="000B5F72"/>
    <w:rsid w:val="000C739D"/>
    <w:rsid w:val="000C7E27"/>
    <w:rsid w:val="000D4026"/>
    <w:rsid w:val="000E6B2A"/>
    <w:rsid w:val="000F5A30"/>
    <w:rsid w:val="0010528E"/>
    <w:rsid w:val="00106735"/>
    <w:rsid w:val="0011657C"/>
    <w:rsid w:val="001264AF"/>
    <w:rsid w:val="00133A52"/>
    <w:rsid w:val="0015244E"/>
    <w:rsid w:val="00153BDA"/>
    <w:rsid w:val="00171EED"/>
    <w:rsid w:val="00173501"/>
    <w:rsid w:val="001825CA"/>
    <w:rsid w:val="00191387"/>
    <w:rsid w:val="001A5844"/>
    <w:rsid w:val="001B7B14"/>
    <w:rsid w:val="001C2F8B"/>
    <w:rsid w:val="001D1035"/>
    <w:rsid w:val="001D193B"/>
    <w:rsid w:val="001D2253"/>
    <w:rsid w:val="001E1BFB"/>
    <w:rsid w:val="001E4108"/>
    <w:rsid w:val="001E4C04"/>
    <w:rsid w:val="001E6B7E"/>
    <w:rsid w:val="001E7CC9"/>
    <w:rsid w:val="0020035D"/>
    <w:rsid w:val="00212AFB"/>
    <w:rsid w:val="002254EB"/>
    <w:rsid w:val="00226613"/>
    <w:rsid w:val="002304C1"/>
    <w:rsid w:val="002308EB"/>
    <w:rsid w:val="0024765C"/>
    <w:rsid w:val="002753FC"/>
    <w:rsid w:val="00276112"/>
    <w:rsid w:val="00285ED7"/>
    <w:rsid w:val="00287D07"/>
    <w:rsid w:val="0029145C"/>
    <w:rsid w:val="002966CC"/>
    <w:rsid w:val="00296D84"/>
    <w:rsid w:val="002A3CD3"/>
    <w:rsid w:val="002A3F34"/>
    <w:rsid w:val="002A53A0"/>
    <w:rsid w:val="002B1C36"/>
    <w:rsid w:val="002B1DCA"/>
    <w:rsid w:val="002B79BE"/>
    <w:rsid w:val="002D1F8D"/>
    <w:rsid w:val="002D3D4F"/>
    <w:rsid w:val="002E5E30"/>
    <w:rsid w:val="002F32A8"/>
    <w:rsid w:val="00301A23"/>
    <w:rsid w:val="00305242"/>
    <w:rsid w:val="0031088F"/>
    <w:rsid w:val="003124AD"/>
    <w:rsid w:val="003140B6"/>
    <w:rsid w:val="00335787"/>
    <w:rsid w:val="00336A78"/>
    <w:rsid w:val="0033727D"/>
    <w:rsid w:val="00343D24"/>
    <w:rsid w:val="003457B8"/>
    <w:rsid w:val="0035440E"/>
    <w:rsid w:val="0036170F"/>
    <w:rsid w:val="003628D1"/>
    <w:rsid w:val="003654BE"/>
    <w:rsid w:val="0037334E"/>
    <w:rsid w:val="00380CD7"/>
    <w:rsid w:val="00383420"/>
    <w:rsid w:val="00386AE0"/>
    <w:rsid w:val="00393698"/>
    <w:rsid w:val="003A099B"/>
    <w:rsid w:val="003A629B"/>
    <w:rsid w:val="003B26A1"/>
    <w:rsid w:val="003B4820"/>
    <w:rsid w:val="003B6BC7"/>
    <w:rsid w:val="003C1725"/>
    <w:rsid w:val="003C2BEC"/>
    <w:rsid w:val="003D4A31"/>
    <w:rsid w:val="003E2D06"/>
    <w:rsid w:val="003E7192"/>
    <w:rsid w:val="003E7B43"/>
    <w:rsid w:val="003F490C"/>
    <w:rsid w:val="003F4F5F"/>
    <w:rsid w:val="003F56D2"/>
    <w:rsid w:val="003F5AD0"/>
    <w:rsid w:val="00411B8C"/>
    <w:rsid w:val="004233A2"/>
    <w:rsid w:val="00427D60"/>
    <w:rsid w:val="00446AF3"/>
    <w:rsid w:val="0045060F"/>
    <w:rsid w:val="00463BE5"/>
    <w:rsid w:val="00474C26"/>
    <w:rsid w:val="00475DB7"/>
    <w:rsid w:val="004835C8"/>
    <w:rsid w:val="00495771"/>
    <w:rsid w:val="004A0F76"/>
    <w:rsid w:val="004A2D27"/>
    <w:rsid w:val="004A5404"/>
    <w:rsid w:val="004B5FEC"/>
    <w:rsid w:val="004D60C5"/>
    <w:rsid w:val="004F18D0"/>
    <w:rsid w:val="004F40C4"/>
    <w:rsid w:val="004F792F"/>
    <w:rsid w:val="00502A2B"/>
    <w:rsid w:val="00506C9F"/>
    <w:rsid w:val="005102B9"/>
    <w:rsid w:val="005110A0"/>
    <w:rsid w:val="00525174"/>
    <w:rsid w:val="005338CA"/>
    <w:rsid w:val="005434F2"/>
    <w:rsid w:val="00544127"/>
    <w:rsid w:val="0054551A"/>
    <w:rsid w:val="00547ABA"/>
    <w:rsid w:val="0057441A"/>
    <w:rsid w:val="0058197C"/>
    <w:rsid w:val="0058783C"/>
    <w:rsid w:val="00587D35"/>
    <w:rsid w:val="005900CB"/>
    <w:rsid w:val="00591F15"/>
    <w:rsid w:val="00596092"/>
    <w:rsid w:val="005B2BD2"/>
    <w:rsid w:val="005B5452"/>
    <w:rsid w:val="005C696D"/>
    <w:rsid w:val="005C7647"/>
    <w:rsid w:val="005D3116"/>
    <w:rsid w:val="005D7381"/>
    <w:rsid w:val="005E2E1B"/>
    <w:rsid w:val="005E72FD"/>
    <w:rsid w:val="005E7838"/>
    <w:rsid w:val="005F4E3A"/>
    <w:rsid w:val="00600093"/>
    <w:rsid w:val="00600ED6"/>
    <w:rsid w:val="0061031A"/>
    <w:rsid w:val="00623632"/>
    <w:rsid w:val="00632472"/>
    <w:rsid w:val="00633B82"/>
    <w:rsid w:val="006376F2"/>
    <w:rsid w:val="00651F44"/>
    <w:rsid w:val="0065521B"/>
    <w:rsid w:val="00664D74"/>
    <w:rsid w:val="00666076"/>
    <w:rsid w:val="00681379"/>
    <w:rsid w:val="0069113D"/>
    <w:rsid w:val="00692516"/>
    <w:rsid w:val="00694893"/>
    <w:rsid w:val="006953DB"/>
    <w:rsid w:val="00697D61"/>
    <w:rsid w:val="006A0FC5"/>
    <w:rsid w:val="006B022B"/>
    <w:rsid w:val="006B0852"/>
    <w:rsid w:val="006B5140"/>
    <w:rsid w:val="006B5F09"/>
    <w:rsid w:val="006C231E"/>
    <w:rsid w:val="006C3369"/>
    <w:rsid w:val="006D12A3"/>
    <w:rsid w:val="006D7F04"/>
    <w:rsid w:val="006E125D"/>
    <w:rsid w:val="006E5FCA"/>
    <w:rsid w:val="006F5ADA"/>
    <w:rsid w:val="00700B14"/>
    <w:rsid w:val="00702B16"/>
    <w:rsid w:val="00703349"/>
    <w:rsid w:val="00703966"/>
    <w:rsid w:val="00707954"/>
    <w:rsid w:val="00720A4B"/>
    <w:rsid w:val="0072243F"/>
    <w:rsid w:val="00722A29"/>
    <w:rsid w:val="0073420E"/>
    <w:rsid w:val="00742739"/>
    <w:rsid w:val="0075585E"/>
    <w:rsid w:val="00770AA8"/>
    <w:rsid w:val="00771C1C"/>
    <w:rsid w:val="00774C31"/>
    <w:rsid w:val="00787179"/>
    <w:rsid w:val="007906F6"/>
    <w:rsid w:val="00794EE3"/>
    <w:rsid w:val="00795300"/>
    <w:rsid w:val="00795F41"/>
    <w:rsid w:val="007A5480"/>
    <w:rsid w:val="007A59B3"/>
    <w:rsid w:val="007B0690"/>
    <w:rsid w:val="007B6DFF"/>
    <w:rsid w:val="007D6724"/>
    <w:rsid w:val="007E7171"/>
    <w:rsid w:val="007F1773"/>
    <w:rsid w:val="008008D2"/>
    <w:rsid w:val="00801E20"/>
    <w:rsid w:val="00802236"/>
    <w:rsid w:val="0081068E"/>
    <w:rsid w:val="00815985"/>
    <w:rsid w:val="00826E6E"/>
    <w:rsid w:val="0083088D"/>
    <w:rsid w:val="00835806"/>
    <w:rsid w:val="0083758B"/>
    <w:rsid w:val="008472C0"/>
    <w:rsid w:val="00864605"/>
    <w:rsid w:val="00871E35"/>
    <w:rsid w:val="00876E83"/>
    <w:rsid w:val="00877758"/>
    <w:rsid w:val="00880917"/>
    <w:rsid w:val="00887758"/>
    <w:rsid w:val="008934AF"/>
    <w:rsid w:val="00896B01"/>
    <w:rsid w:val="008A2865"/>
    <w:rsid w:val="008D00D9"/>
    <w:rsid w:val="008D5832"/>
    <w:rsid w:val="008E1ABE"/>
    <w:rsid w:val="008E5BAC"/>
    <w:rsid w:val="008F5E64"/>
    <w:rsid w:val="009041DC"/>
    <w:rsid w:val="00904EA2"/>
    <w:rsid w:val="00906A03"/>
    <w:rsid w:val="00911532"/>
    <w:rsid w:val="009121BE"/>
    <w:rsid w:val="00914DD8"/>
    <w:rsid w:val="0091595D"/>
    <w:rsid w:val="00923892"/>
    <w:rsid w:val="009259CA"/>
    <w:rsid w:val="0092799F"/>
    <w:rsid w:val="00940A72"/>
    <w:rsid w:val="00940B8A"/>
    <w:rsid w:val="0094113B"/>
    <w:rsid w:val="0094615B"/>
    <w:rsid w:val="00947559"/>
    <w:rsid w:val="00947C37"/>
    <w:rsid w:val="00954F40"/>
    <w:rsid w:val="009625D7"/>
    <w:rsid w:val="00972965"/>
    <w:rsid w:val="00974E47"/>
    <w:rsid w:val="009A7FA6"/>
    <w:rsid w:val="009B1173"/>
    <w:rsid w:val="009B1AC3"/>
    <w:rsid w:val="009B2EC5"/>
    <w:rsid w:val="009B50BF"/>
    <w:rsid w:val="009C405B"/>
    <w:rsid w:val="009C64DA"/>
    <w:rsid w:val="009D0227"/>
    <w:rsid w:val="009D52F8"/>
    <w:rsid w:val="009D6D61"/>
    <w:rsid w:val="009F202A"/>
    <w:rsid w:val="009F5E76"/>
    <w:rsid w:val="00A10473"/>
    <w:rsid w:val="00A12E0E"/>
    <w:rsid w:val="00A13D8B"/>
    <w:rsid w:val="00A25542"/>
    <w:rsid w:val="00A3339E"/>
    <w:rsid w:val="00A42D6E"/>
    <w:rsid w:val="00A42EC8"/>
    <w:rsid w:val="00A4353E"/>
    <w:rsid w:val="00A46867"/>
    <w:rsid w:val="00A57B84"/>
    <w:rsid w:val="00A608D6"/>
    <w:rsid w:val="00A613B7"/>
    <w:rsid w:val="00A61D51"/>
    <w:rsid w:val="00A6296B"/>
    <w:rsid w:val="00A65D59"/>
    <w:rsid w:val="00A6713C"/>
    <w:rsid w:val="00A728A7"/>
    <w:rsid w:val="00A73450"/>
    <w:rsid w:val="00A771E0"/>
    <w:rsid w:val="00A80A2B"/>
    <w:rsid w:val="00A83BF9"/>
    <w:rsid w:val="00A9143F"/>
    <w:rsid w:val="00A930FF"/>
    <w:rsid w:val="00A93655"/>
    <w:rsid w:val="00A96A30"/>
    <w:rsid w:val="00A96AFF"/>
    <w:rsid w:val="00AA071D"/>
    <w:rsid w:val="00AA2F02"/>
    <w:rsid w:val="00AA45DD"/>
    <w:rsid w:val="00AC41B6"/>
    <w:rsid w:val="00AD0A0E"/>
    <w:rsid w:val="00AD2D78"/>
    <w:rsid w:val="00AE6BA3"/>
    <w:rsid w:val="00AF0DDF"/>
    <w:rsid w:val="00B027AC"/>
    <w:rsid w:val="00B14CDF"/>
    <w:rsid w:val="00B15011"/>
    <w:rsid w:val="00B161C7"/>
    <w:rsid w:val="00B1732E"/>
    <w:rsid w:val="00B2054F"/>
    <w:rsid w:val="00B2344E"/>
    <w:rsid w:val="00B23FB7"/>
    <w:rsid w:val="00B31804"/>
    <w:rsid w:val="00B34419"/>
    <w:rsid w:val="00B3511E"/>
    <w:rsid w:val="00B4333E"/>
    <w:rsid w:val="00B552EA"/>
    <w:rsid w:val="00B563D6"/>
    <w:rsid w:val="00B56EB4"/>
    <w:rsid w:val="00B57F17"/>
    <w:rsid w:val="00B6035A"/>
    <w:rsid w:val="00B737A4"/>
    <w:rsid w:val="00B82FC1"/>
    <w:rsid w:val="00B83071"/>
    <w:rsid w:val="00B8640F"/>
    <w:rsid w:val="00B90EA4"/>
    <w:rsid w:val="00B97D8D"/>
    <w:rsid w:val="00BA1413"/>
    <w:rsid w:val="00BA628F"/>
    <w:rsid w:val="00BA6D78"/>
    <w:rsid w:val="00BB0762"/>
    <w:rsid w:val="00BB2A08"/>
    <w:rsid w:val="00BB3CDD"/>
    <w:rsid w:val="00BC01CC"/>
    <w:rsid w:val="00BC0E97"/>
    <w:rsid w:val="00BD1CEC"/>
    <w:rsid w:val="00BD69AA"/>
    <w:rsid w:val="00BD6F8E"/>
    <w:rsid w:val="00BF0E81"/>
    <w:rsid w:val="00BF0F84"/>
    <w:rsid w:val="00BF4EC9"/>
    <w:rsid w:val="00BF511E"/>
    <w:rsid w:val="00BF5B62"/>
    <w:rsid w:val="00C17C7C"/>
    <w:rsid w:val="00C32DAC"/>
    <w:rsid w:val="00C3325C"/>
    <w:rsid w:val="00C37364"/>
    <w:rsid w:val="00C37940"/>
    <w:rsid w:val="00C50361"/>
    <w:rsid w:val="00C61944"/>
    <w:rsid w:val="00C620CC"/>
    <w:rsid w:val="00C71D7F"/>
    <w:rsid w:val="00C861CA"/>
    <w:rsid w:val="00C87ACE"/>
    <w:rsid w:val="00C921D5"/>
    <w:rsid w:val="00C96F25"/>
    <w:rsid w:val="00CA130A"/>
    <w:rsid w:val="00CA3DEE"/>
    <w:rsid w:val="00CA4885"/>
    <w:rsid w:val="00CB2EA3"/>
    <w:rsid w:val="00CC0A97"/>
    <w:rsid w:val="00CD1B50"/>
    <w:rsid w:val="00CE1C99"/>
    <w:rsid w:val="00CE44FA"/>
    <w:rsid w:val="00CE78C2"/>
    <w:rsid w:val="00CF6E41"/>
    <w:rsid w:val="00D04A73"/>
    <w:rsid w:val="00D12CE1"/>
    <w:rsid w:val="00D204F0"/>
    <w:rsid w:val="00D2196F"/>
    <w:rsid w:val="00D219BA"/>
    <w:rsid w:val="00D21C74"/>
    <w:rsid w:val="00D26796"/>
    <w:rsid w:val="00D33341"/>
    <w:rsid w:val="00D342D2"/>
    <w:rsid w:val="00D35818"/>
    <w:rsid w:val="00D41919"/>
    <w:rsid w:val="00D43865"/>
    <w:rsid w:val="00D47F34"/>
    <w:rsid w:val="00D56F18"/>
    <w:rsid w:val="00D66074"/>
    <w:rsid w:val="00D74CA5"/>
    <w:rsid w:val="00D75598"/>
    <w:rsid w:val="00D75DC8"/>
    <w:rsid w:val="00D76ACD"/>
    <w:rsid w:val="00D81EE7"/>
    <w:rsid w:val="00D8611D"/>
    <w:rsid w:val="00D94BB8"/>
    <w:rsid w:val="00DA4183"/>
    <w:rsid w:val="00DB17C8"/>
    <w:rsid w:val="00DB2542"/>
    <w:rsid w:val="00DB6A3A"/>
    <w:rsid w:val="00DC6F8B"/>
    <w:rsid w:val="00DD0023"/>
    <w:rsid w:val="00DD2400"/>
    <w:rsid w:val="00DD3402"/>
    <w:rsid w:val="00DD7C0F"/>
    <w:rsid w:val="00DE0372"/>
    <w:rsid w:val="00DE1278"/>
    <w:rsid w:val="00DE18EA"/>
    <w:rsid w:val="00DE195A"/>
    <w:rsid w:val="00DE37BC"/>
    <w:rsid w:val="00DE4C32"/>
    <w:rsid w:val="00DE7DB4"/>
    <w:rsid w:val="00DF0DDB"/>
    <w:rsid w:val="00DF7F4F"/>
    <w:rsid w:val="00E00FF5"/>
    <w:rsid w:val="00E04DD1"/>
    <w:rsid w:val="00E17D62"/>
    <w:rsid w:val="00E22198"/>
    <w:rsid w:val="00E231DA"/>
    <w:rsid w:val="00E33C19"/>
    <w:rsid w:val="00E35809"/>
    <w:rsid w:val="00E35897"/>
    <w:rsid w:val="00E40CE7"/>
    <w:rsid w:val="00E40F0A"/>
    <w:rsid w:val="00E4270C"/>
    <w:rsid w:val="00E45611"/>
    <w:rsid w:val="00E54E9A"/>
    <w:rsid w:val="00E6103C"/>
    <w:rsid w:val="00E62760"/>
    <w:rsid w:val="00E63DD2"/>
    <w:rsid w:val="00E6464B"/>
    <w:rsid w:val="00E7589F"/>
    <w:rsid w:val="00E94952"/>
    <w:rsid w:val="00EA18B0"/>
    <w:rsid w:val="00EA231C"/>
    <w:rsid w:val="00EB0655"/>
    <w:rsid w:val="00EC159B"/>
    <w:rsid w:val="00EC7FB8"/>
    <w:rsid w:val="00ED15DC"/>
    <w:rsid w:val="00F05D06"/>
    <w:rsid w:val="00F072E9"/>
    <w:rsid w:val="00F1686E"/>
    <w:rsid w:val="00F209D3"/>
    <w:rsid w:val="00F22224"/>
    <w:rsid w:val="00F32D67"/>
    <w:rsid w:val="00F45ACE"/>
    <w:rsid w:val="00F46330"/>
    <w:rsid w:val="00F46345"/>
    <w:rsid w:val="00F47AFD"/>
    <w:rsid w:val="00F47B29"/>
    <w:rsid w:val="00F47BA7"/>
    <w:rsid w:val="00F53439"/>
    <w:rsid w:val="00F536A8"/>
    <w:rsid w:val="00F63F10"/>
    <w:rsid w:val="00F91D3F"/>
    <w:rsid w:val="00F936AA"/>
    <w:rsid w:val="00F94082"/>
    <w:rsid w:val="00F9664A"/>
    <w:rsid w:val="00FA35E2"/>
    <w:rsid w:val="00FA5777"/>
    <w:rsid w:val="00FA736F"/>
    <w:rsid w:val="00FB0AB3"/>
    <w:rsid w:val="00FB3CF7"/>
    <w:rsid w:val="00FB7AD2"/>
    <w:rsid w:val="00FC1B68"/>
    <w:rsid w:val="00FC264C"/>
    <w:rsid w:val="00FD3D5B"/>
    <w:rsid w:val="00FE6625"/>
    <w:rsid w:val="00FF4C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pt-BR" w:eastAsia="pt-BR" w:bidi="ar-SA"/>
      </w:rPr>
    </w:rPrDefault>
    <w:pPrDefault>
      <w:pPr>
        <w:spacing w:before="240" w:line="360"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qFormat="1"/>
    <w:lsdException w:name="footer" w:unhideWhenUsed="0"/>
    <w:lsdException w:name="caption" w:uiPriority="35" w:qFormat="1"/>
    <w:lsdException w:name="annotation reference" w:unhideWhenUsed="0"/>
    <w:lsdException w:name="page number" w:unhideWhenUsed="0"/>
    <w:lsdException w:name="Title" w:semiHidden="0" w:uiPriority="10" w:unhideWhenUsed="0"/>
    <w:lsdException w:name="Signature" w:semiHidden="0" w:unhideWhenUsed="0"/>
    <w:lsdException w:name="Default Paragraph Font" w:unhideWhenUsed="0"/>
    <w:lsdException w:name="Body Text" w:uiPriority="0" w:unhideWhenUsed="0" w:qFormat="1"/>
    <w:lsdException w:name="Subtitle" w:semiHidden="0" w:uiPriority="11" w:unhideWhenUsed="0"/>
    <w:lsdException w:name="Date" w:semiHidden="0" w:unhideWhenUsed="0"/>
    <w:lsdException w:name="Body Text 2" w:unhideWhenUsed="0"/>
    <w:lsdException w:name="Block Text"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C264C"/>
  </w:style>
  <w:style w:type="paragraph" w:styleId="Ttulo1">
    <w:name w:val="heading 1"/>
    <w:next w:val="Corpodetexto"/>
    <w:link w:val="Ttulo1Char"/>
    <w:qFormat/>
    <w:rsid w:val="00446AF3"/>
    <w:pPr>
      <w:keepNext/>
      <w:numPr>
        <w:numId w:val="4"/>
      </w:numPr>
      <w:ind w:right="198"/>
      <w:contextualSpacing/>
      <w:outlineLvl w:val="0"/>
    </w:pPr>
    <w:rPr>
      <w:rFonts w:eastAsia="Times New Roman" w:cs="Arial"/>
      <w:b/>
      <w:bCs/>
      <w:caps/>
    </w:rPr>
  </w:style>
  <w:style w:type="paragraph" w:styleId="Ttulo2">
    <w:name w:val="heading 2"/>
    <w:basedOn w:val="Ttulo1"/>
    <w:next w:val="Corpodetexto"/>
    <w:link w:val="Ttulo2Char"/>
    <w:qFormat/>
    <w:rsid w:val="0058783C"/>
    <w:pPr>
      <w:numPr>
        <w:ilvl w:val="1"/>
      </w:numPr>
      <w:tabs>
        <w:tab w:val="left" w:pos="142"/>
      </w:tabs>
      <w:spacing w:line="240" w:lineRule="auto"/>
      <w:jc w:val="both"/>
      <w:outlineLvl w:val="1"/>
    </w:pPr>
    <w:rPr>
      <w:caps w:val="0"/>
      <w:szCs w:val="20"/>
    </w:rPr>
  </w:style>
  <w:style w:type="paragraph" w:styleId="Ttulo3">
    <w:name w:val="heading 3"/>
    <w:basedOn w:val="Ttulo2"/>
    <w:next w:val="Corpodetexto"/>
    <w:link w:val="Ttulo3Char"/>
    <w:qFormat/>
    <w:rsid w:val="009B2EC5"/>
    <w:pPr>
      <w:numPr>
        <w:ilvl w:val="2"/>
      </w:numPr>
      <w:outlineLvl w:val="2"/>
    </w:pPr>
  </w:style>
  <w:style w:type="paragraph" w:styleId="Ttulo4">
    <w:name w:val="heading 4"/>
    <w:basedOn w:val="Ttulo3"/>
    <w:next w:val="Normal"/>
    <w:link w:val="Ttulo4Char"/>
    <w:rsid w:val="009B2EC5"/>
    <w:pPr>
      <w:numPr>
        <w:ilvl w:val="3"/>
      </w:numPr>
      <w:outlineLvl w:val="3"/>
    </w:pPr>
  </w:style>
  <w:style w:type="paragraph" w:styleId="Ttulo5">
    <w:name w:val="heading 5"/>
    <w:basedOn w:val="Normal"/>
    <w:next w:val="Normal"/>
    <w:link w:val="Ttulo5Char"/>
    <w:uiPriority w:val="99"/>
    <w:semiHidden/>
    <w:pPr>
      <w:keepNext/>
      <w:outlineLvl w:val="4"/>
    </w:pPr>
    <w:rPr>
      <w:rFonts w:cs="Arial"/>
      <w:b/>
      <w:bCs/>
    </w:rPr>
  </w:style>
  <w:style w:type="paragraph" w:styleId="Ttulo6">
    <w:name w:val="heading 6"/>
    <w:basedOn w:val="Normal"/>
    <w:next w:val="Normal"/>
    <w:link w:val="Ttulo6Char"/>
    <w:uiPriority w:val="99"/>
    <w:semiHidden/>
    <w:pPr>
      <w:keepNext/>
      <w:ind w:left="-68"/>
      <w:outlineLvl w:val="5"/>
    </w:pPr>
    <w:rPr>
      <w:b/>
      <w:bCs/>
      <w:sz w:val="12"/>
      <w:szCs w:val="1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7954"/>
    <w:rPr>
      <w:rFonts w:eastAsia="Times New Roman" w:cs="Arial"/>
      <w:b/>
      <w:bCs/>
      <w:caps/>
    </w:rPr>
  </w:style>
  <w:style w:type="character" w:customStyle="1" w:styleId="Ttulo2Char">
    <w:name w:val="Título 2 Char"/>
    <w:basedOn w:val="Fontepargpadro"/>
    <w:link w:val="Ttulo2"/>
    <w:rsid w:val="00707954"/>
    <w:rPr>
      <w:rFonts w:eastAsia="Times New Roman" w:cs="Arial"/>
      <w:b/>
      <w:bCs/>
      <w:szCs w:val="20"/>
    </w:rPr>
  </w:style>
  <w:style w:type="character" w:customStyle="1" w:styleId="Ttulo3Char">
    <w:name w:val="Título 3 Char"/>
    <w:basedOn w:val="Fontepargpadro"/>
    <w:link w:val="Ttulo3"/>
    <w:rsid w:val="00707954"/>
    <w:rPr>
      <w:rFonts w:eastAsia="Times New Roman" w:cs="Arial"/>
      <w:b/>
      <w:bCs/>
      <w:szCs w:val="20"/>
    </w:rPr>
  </w:style>
  <w:style w:type="character" w:customStyle="1" w:styleId="Ttulo4Char">
    <w:name w:val="Título 4 Char"/>
    <w:basedOn w:val="Fontepargpadro"/>
    <w:link w:val="Ttulo4"/>
    <w:rsid w:val="00707954"/>
    <w:rPr>
      <w:rFonts w:eastAsia="Times New Roman" w:cs="Arial"/>
      <w:b/>
      <w:bCs/>
      <w:szCs w:val="20"/>
    </w:rPr>
  </w:style>
  <w:style w:type="character" w:customStyle="1" w:styleId="Ttulo5Char">
    <w:name w:val="Título 5 Char"/>
    <w:basedOn w:val="Fontepargpadro"/>
    <w:link w:val="Ttulo5"/>
    <w:uiPriority w:val="99"/>
    <w:semiHidden/>
    <w:rsid w:val="004B5FEC"/>
    <w:rPr>
      <w:rFonts w:ascii="Arial" w:hAnsi="Arial" w:cs="Arial"/>
      <w:b/>
      <w:bCs/>
      <w:sz w:val="24"/>
      <w:szCs w:val="24"/>
    </w:rPr>
  </w:style>
  <w:style w:type="character" w:customStyle="1" w:styleId="Ttulo6Char">
    <w:name w:val="Título 6 Char"/>
    <w:basedOn w:val="Fontepargpadro"/>
    <w:link w:val="Ttulo6"/>
    <w:uiPriority w:val="99"/>
    <w:semiHidden/>
    <w:rsid w:val="004B5FEC"/>
    <w:rPr>
      <w:rFonts w:ascii="Arial" w:hAnsi="Arial" w:cs="Times New Roman"/>
      <w:b/>
      <w:bCs/>
      <w:sz w:val="12"/>
      <w:szCs w:val="12"/>
    </w:rPr>
  </w:style>
  <w:style w:type="paragraph" w:styleId="Cabealho">
    <w:name w:val="header"/>
    <w:link w:val="CabealhoChar"/>
    <w:uiPriority w:val="99"/>
    <w:qFormat/>
    <w:rsid w:val="0058783C"/>
    <w:pPr>
      <w:tabs>
        <w:tab w:val="left" w:pos="8040"/>
      </w:tabs>
      <w:spacing w:before="0" w:line="240" w:lineRule="auto"/>
      <w:ind w:left="142" w:right="-1"/>
      <w:jc w:val="both"/>
    </w:pPr>
    <w:rPr>
      <w:rFonts w:eastAsia="Times New Roman" w:cs="Arial"/>
      <w:b/>
    </w:rPr>
  </w:style>
  <w:style w:type="character" w:customStyle="1" w:styleId="CabealhoChar">
    <w:name w:val="Cabeçalho Char"/>
    <w:basedOn w:val="Fontepargpadro"/>
    <w:link w:val="Cabealho"/>
    <w:uiPriority w:val="99"/>
    <w:rsid w:val="0058783C"/>
    <w:rPr>
      <w:rFonts w:eastAsia="Times New Roman" w:cs="Arial"/>
      <w:b/>
    </w:rPr>
  </w:style>
  <w:style w:type="paragraph" w:styleId="Rodap">
    <w:name w:val="footer"/>
    <w:basedOn w:val="Normal"/>
    <w:link w:val="RodapChar"/>
    <w:uiPriority w:val="99"/>
    <w:rsid w:val="006376F2"/>
    <w:pPr>
      <w:tabs>
        <w:tab w:val="left" w:pos="9639"/>
      </w:tabs>
      <w:spacing w:before="0" w:line="240" w:lineRule="auto"/>
      <w:ind w:left="176"/>
    </w:pPr>
    <w:rPr>
      <w:rFonts w:ascii="Times New Roman" w:hAnsi="Times New Roman"/>
      <w:sz w:val="16"/>
      <w:szCs w:val="16"/>
    </w:rPr>
  </w:style>
  <w:style w:type="character" w:customStyle="1" w:styleId="RodapChar">
    <w:name w:val="Rodapé Char"/>
    <w:basedOn w:val="Fontepargpadro"/>
    <w:link w:val="Rodap"/>
    <w:uiPriority w:val="99"/>
    <w:rsid w:val="006376F2"/>
    <w:rPr>
      <w:rFonts w:ascii="Times New Roman" w:hAnsi="Times New Roman"/>
      <w:sz w:val="16"/>
      <w:szCs w:val="16"/>
    </w:rPr>
  </w:style>
  <w:style w:type="character" w:styleId="Nmerodepgina">
    <w:name w:val="page number"/>
    <w:uiPriority w:val="99"/>
    <w:rsid w:val="006B5140"/>
    <w:rPr>
      <w:rFonts w:ascii="Times New Roman" w:hAnsi="Times New Roman" w:cs="Arial"/>
      <w:sz w:val="20"/>
      <w:szCs w:val="16"/>
    </w:rPr>
  </w:style>
  <w:style w:type="paragraph" w:styleId="Assinatura">
    <w:name w:val="Signature"/>
    <w:link w:val="AssinaturaChar"/>
    <w:uiPriority w:val="99"/>
    <w:rsid w:val="0058783C"/>
    <w:pPr>
      <w:adjustRightInd w:val="0"/>
      <w:spacing w:before="0" w:line="240" w:lineRule="auto"/>
      <w:jc w:val="center"/>
    </w:pPr>
    <w:rPr>
      <w:rFonts w:cs="Arial"/>
      <w:b/>
    </w:rPr>
  </w:style>
  <w:style w:type="character" w:customStyle="1" w:styleId="AssinaturaChar">
    <w:name w:val="Assinatura Char"/>
    <w:basedOn w:val="Fontepargpadro"/>
    <w:link w:val="Assinatura"/>
    <w:uiPriority w:val="99"/>
    <w:rsid w:val="0058783C"/>
    <w:rPr>
      <w:rFonts w:cs="Arial"/>
      <w:b/>
    </w:rPr>
  </w:style>
  <w:style w:type="paragraph" w:styleId="Data">
    <w:name w:val="Date"/>
    <w:basedOn w:val="Normal"/>
    <w:next w:val="Normal"/>
    <w:link w:val="DataChar"/>
    <w:uiPriority w:val="99"/>
    <w:rsid w:val="009B2EC5"/>
    <w:pPr>
      <w:adjustRightInd w:val="0"/>
      <w:spacing w:before="120"/>
      <w:ind w:right="-1"/>
      <w:jc w:val="center"/>
    </w:pPr>
    <w:rPr>
      <w:rFonts w:eastAsia="SimSun" w:cs="Arial"/>
      <w:bCs/>
      <w:iCs/>
      <w:lang w:eastAsia="ar-SA"/>
    </w:rPr>
  </w:style>
  <w:style w:type="character" w:customStyle="1" w:styleId="DataChar">
    <w:name w:val="Data Char"/>
    <w:basedOn w:val="Fontepargpadro"/>
    <w:link w:val="Data"/>
    <w:uiPriority w:val="99"/>
    <w:rsid w:val="009B2EC5"/>
    <w:rPr>
      <w:rFonts w:ascii="Arial" w:eastAsia="SimSun" w:hAnsi="Arial" w:cs="Arial"/>
      <w:bCs/>
      <w:iCs/>
      <w:sz w:val="24"/>
      <w:szCs w:val="24"/>
      <w:lang w:eastAsia="ar-SA"/>
    </w:rPr>
  </w:style>
  <w:style w:type="paragraph" w:customStyle="1" w:styleId="SubtituloManif">
    <w:name w:val="Subtitulo Manif"/>
    <w:basedOn w:val="Normal"/>
    <w:next w:val="Corpodetexto"/>
    <w:link w:val="SubtituloManifChar"/>
    <w:uiPriority w:val="1"/>
    <w:qFormat/>
    <w:rsid w:val="009B2EC5"/>
    <w:pPr>
      <w:ind w:left="142" w:right="708"/>
      <w:jc w:val="both"/>
    </w:pPr>
    <w:rPr>
      <w:rFonts w:eastAsia="SimSun"/>
      <w:szCs w:val="20"/>
      <w:u w:val="single"/>
      <w:lang w:eastAsia="ar-SA"/>
    </w:rPr>
  </w:style>
  <w:style w:type="paragraph" w:styleId="Corpodetexto">
    <w:name w:val="Body Text"/>
    <w:basedOn w:val="Normal"/>
    <w:link w:val="CorpodetextoChar"/>
    <w:qFormat/>
    <w:rsid w:val="0072243F"/>
  </w:style>
  <w:style w:type="character" w:customStyle="1" w:styleId="CorpodetextoChar">
    <w:name w:val="Corpo de texto Char"/>
    <w:basedOn w:val="Fontepargpadro"/>
    <w:link w:val="Corpodetexto"/>
    <w:rsid w:val="0072243F"/>
  </w:style>
  <w:style w:type="character" w:customStyle="1" w:styleId="SubtituloManifChar">
    <w:name w:val="Subtitulo Manif Char"/>
    <w:basedOn w:val="Fontepargpadro"/>
    <w:link w:val="SubtituloManif"/>
    <w:uiPriority w:val="1"/>
    <w:rsid w:val="00707954"/>
    <w:rPr>
      <w:rFonts w:eastAsia="SimSun"/>
      <w:szCs w:val="20"/>
      <w:u w:val="single"/>
      <w:lang w:eastAsia="ar-SA"/>
    </w:rPr>
  </w:style>
  <w:style w:type="paragraph" w:customStyle="1" w:styleId="Itemizao">
    <w:name w:val="Itemização"/>
    <w:uiPriority w:val="2"/>
    <w:qFormat/>
    <w:rsid w:val="00C96F25"/>
    <w:pPr>
      <w:numPr>
        <w:numId w:val="3"/>
      </w:numPr>
      <w:ind w:left="426" w:hanging="284"/>
      <w:jc w:val="both"/>
    </w:pPr>
    <w:rPr>
      <w:rFonts w:eastAsia="Times New Roman"/>
      <w:szCs w:val="20"/>
    </w:rPr>
  </w:style>
  <w:style w:type="table" w:styleId="Tabelacomgrade">
    <w:name w:val="Table Grid"/>
    <w:basedOn w:val="Tabelanormal"/>
    <w:rsid w:val="00A96A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Manifestacao">
    <w:name w:val="Item Manifestacao"/>
    <w:next w:val="Corpodetexto"/>
    <w:link w:val="ItemManifestacaoChar"/>
    <w:uiPriority w:val="1"/>
    <w:qFormat/>
    <w:rsid w:val="00C96F25"/>
    <w:pPr>
      <w:numPr>
        <w:numId w:val="14"/>
      </w:numPr>
      <w:tabs>
        <w:tab w:val="left" w:pos="567"/>
      </w:tabs>
      <w:spacing w:line="240" w:lineRule="auto"/>
      <w:ind w:left="142" w:right="198" w:firstLine="0"/>
      <w:outlineLvl w:val="1"/>
    </w:pPr>
    <w:rPr>
      <w:rFonts w:eastAsia="Times New Roman" w:cs="Times New Roman"/>
      <w:b/>
      <w:szCs w:val="20"/>
    </w:rPr>
  </w:style>
  <w:style w:type="paragraph" w:styleId="Textodebalo">
    <w:name w:val="Balloon Text"/>
    <w:basedOn w:val="Normal"/>
    <w:link w:val="TextodebaloChar"/>
    <w:uiPriority w:val="99"/>
    <w:semiHidden/>
    <w:unhideWhenUsed/>
    <w:rsid w:val="005338CA"/>
    <w:rPr>
      <w:rFonts w:ascii="Tahoma" w:hAnsi="Tahoma" w:cs="Tahoma"/>
      <w:sz w:val="16"/>
      <w:szCs w:val="16"/>
    </w:rPr>
  </w:style>
  <w:style w:type="character" w:customStyle="1" w:styleId="TextodebaloChar">
    <w:name w:val="Texto de balão Char"/>
    <w:basedOn w:val="Fontepargpadro"/>
    <w:link w:val="Textodebalo"/>
    <w:uiPriority w:val="99"/>
    <w:semiHidden/>
    <w:rsid w:val="005338CA"/>
    <w:rPr>
      <w:rFonts w:ascii="Tahoma" w:hAnsi="Tahoma" w:cs="Tahoma"/>
      <w:sz w:val="16"/>
      <w:szCs w:val="16"/>
    </w:rPr>
  </w:style>
  <w:style w:type="character" w:customStyle="1" w:styleId="ItemManifestacaoChar">
    <w:name w:val="Item Manifestacao Char"/>
    <w:basedOn w:val="CorpodetextoChar"/>
    <w:link w:val="ItemManifestacao"/>
    <w:uiPriority w:val="1"/>
    <w:rsid w:val="00C96F25"/>
    <w:rPr>
      <w:rFonts w:eastAsia="Times New Roman" w:cs="Times New Roman"/>
      <w:b/>
      <w:szCs w:val="20"/>
    </w:rPr>
  </w:style>
  <w:style w:type="paragraph" w:customStyle="1" w:styleId="Concluses">
    <w:name w:val="Conclusões"/>
    <w:basedOn w:val="Ttulo2"/>
    <w:link w:val="ConclusesChar"/>
    <w:uiPriority w:val="1"/>
    <w:qFormat/>
    <w:rsid w:val="00C96F25"/>
    <w:rPr>
      <w:b w:val="0"/>
    </w:rPr>
  </w:style>
  <w:style w:type="character" w:customStyle="1" w:styleId="ConclusesChar">
    <w:name w:val="Conclusões Char"/>
    <w:basedOn w:val="Ttulo2Char"/>
    <w:link w:val="Concluses"/>
    <w:uiPriority w:val="1"/>
    <w:rsid w:val="00C96F25"/>
    <w:rPr>
      <w:rFonts w:eastAsia="Times New Roman" w:cs="Arial"/>
      <w:b w:val="0"/>
      <w:bCs/>
      <w:szCs w:val="20"/>
    </w:rPr>
  </w:style>
  <w:style w:type="paragraph" w:customStyle="1" w:styleId="Logo">
    <w:name w:val="Logo"/>
    <w:link w:val="LogoChar"/>
    <w:uiPriority w:val="99"/>
    <w:rsid w:val="0058783C"/>
    <w:pPr>
      <w:spacing w:before="0" w:line="240" w:lineRule="auto"/>
      <w:ind w:left="-68"/>
      <w:jc w:val="center"/>
    </w:pPr>
    <w:rPr>
      <w:rFonts w:ascii="Times New Roman" w:hAnsi="Times New Roman"/>
      <w:b/>
      <w:bCs/>
      <w:spacing w:val="4"/>
      <w:sz w:val="17"/>
      <w:szCs w:val="17"/>
    </w:rPr>
  </w:style>
  <w:style w:type="paragraph" w:customStyle="1" w:styleId="NProcesso">
    <w:name w:val="N_Processo"/>
    <w:uiPriority w:val="99"/>
    <w:rsid w:val="008E1ABE"/>
    <w:pPr>
      <w:framePr w:w="2431" w:h="433" w:hSpace="141" w:wrap="auto" w:vAnchor="text" w:hAnchor="page" w:x="9067" w:y="-1041"/>
      <w:spacing w:before="0" w:line="240" w:lineRule="auto"/>
      <w:ind w:right="136"/>
      <w:contextualSpacing/>
      <w:jc w:val="right"/>
    </w:pPr>
    <w:rPr>
      <w:rFonts w:cs="Arial"/>
      <w:bCs/>
    </w:rPr>
  </w:style>
  <w:style w:type="paragraph" w:styleId="Citao">
    <w:name w:val="Quote"/>
    <w:link w:val="CitaoChar"/>
    <w:uiPriority w:val="1"/>
    <w:qFormat/>
    <w:rsid w:val="00A3339E"/>
    <w:pPr>
      <w:spacing w:line="240" w:lineRule="auto"/>
      <w:ind w:left="2268"/>
      <w:jc w:val="both"/>
    </w:pPr>
    <w:rPr>
      <w:rFonts w:eastAsia="Times New Roman"/>
      <w:sz w:val="22"/>
      <w:szCs w:val="20"/>
    </w:rPr>
  </w:style>
  <w:style w:type="character" w:customStyle="1" w:styleId="CitaoChar">
    <w:name w:val="Citação Char"/>
    <w:basedOn w:val="Fontepargpadro"/>
    <w:link w:val="Citao"/>
    <w:uiPriority w:val="1"/>
    <w:rsid w:val="00A3339E"/>
    <w:rPr>
      <w:rFonts w:eastAsia="Times New Roman"/>
      <w:sz w:val="22"/>
      <w:szCs w:val="20"/>
    </w:rPr>
  </w:style>
  <w:style w:type="paragraph" w:styleId="Ttulo">
    <w:name w:val="Title"/>
    <w:basedOn w:val="Normal"/>
    <w:next w:val="Normal"/>
    <w:link w:val="TtuloChar"/>
    <w:uiPriority w:val="10"/>
    <w:rsid w:val="00FC264C"/>
    <w:pPr>
      <w:widowControl w:val="0"/>
      <w:spacing w:before="120"/>
      <w:jc w:val="center"/>
    </w:pPr>
    <w:rPr>
      <w:rFonts w:eastAsia="Times New Roman" w:cs="Arial"/>
      <w:b/>
      <w:bCs/>
      <w:iCs/>
    </w:rPr>
  </w:style>
  <w:style w:type="character" w:customStyle="1" w:styleId="TtuloChar">
    <w:name w:val="Título Char"/>
    <w:basedOn w:val="Fontepargpadro"/>
    <w:link w:val="Ttulo"/>
    <w:uiPriority w:val="10"/>
    <w:rsid w:val="00FC264C"/>
    <w:rPr>
      <w:rFonts w:eastAsia="Times New Roman" w:cs="Arial"/>
      <w:b/>
      <w:bCs/>
      <w:iCs/>
    </w:rPr>
  </w:style>
  <w:style w:type="paragraph" w:customStyle="1" w:styleId="Tabela-Ttulo">
    <w:name w:val="Tabela-Título"/>
    <w:uiPriority w:val="2"/>
    <w:qFormat/>
    <w:rsid w:val="00FC264C"/>
    <w:pPr>
      <w:spacing w:before="0" w:line="240" w:lineRule="auto"/>
      <w:jc w:val="center"/>
    </w:pPr>
    <w:rPr>
      <w:rFonts w:eastAsia="Times New Roman"/>
      <w:b/>
      <w:sz w:val="18"/>
      <w:szCs w:val="20"/>
    </w:rPr>
  </w:style>
  <w:style w:type="paragraph" w:customStyle="1" w:styleId="Tabela-texto">
    <w:name w:val="Tabela-texto"/>
    <w:basedOn w:val="Tabela-Ttulo"/>
    <w:uiPriority w:val="2"/>
    <w:qFormat/>
    <w:rsid w:val="00FC264C"/>
    <w:rPr>
      <w:b w:val="0"/>
    </w:rPr>
  </w:style>
  <w:style w:type="paragraph" w:styleId="Legenda">
    <w:name w:val="caption"/>
    <w:uiPriority w:val="35"/>
    <w:unhideWhenUsed/>
    <w:qFormat/>
    <w:rsid w:val="00702B16"/>
    <w:pPr>
      <w:spacing w:before="0" w:line="240" w:lineRule="auto"/>
    </w:pPr>
    <w:rPr>
      <w:bCs/>
      <w:sz w:val="20"/>
      <w:szCs w:val="18"/>
    </w:rPr>
  </w:style>
  <w:style w:type="paragraph" w:customStyle="1" w:styleId="Fonte">
    <w:name w:val="Fonte"/>
    <w:next w:val="Corpodetexto"/>
    <w:rsid w:val="00702B16"/>
    <w:pPr>
      <w:spacing w:before="0" w:line="240" w:lineRule="auto"/>
      <w:jc w:val="both"/>
    </w:pPr>
    <w:rPr>
      <w:rFonts w:eastAsia="Times New Roman"/>
      <w:sz w:val="16"/>
      <w:szCs w:val="20"/>
    </w:rPr>
  </w:style>
  <w:style w:type="paragraph" w:customStyle="1" w:styleId="Figura">
    <w:name w:val="Figura"/>
    <w:next w:val="Fonte"/>
    <w:rsid w:val="00702B16"/>
    <w:pPr>
      <w:spacing w:before="0" w:line="240" w:lineRule="auto"/>
      <w:jc w:val="center"/>
    </w:pPr>
    <w:rPr>
      <w:rFonts w:eastAsia="Times New Roman"/>
      <w:noProof/>
      <w:sz w:val="16"/>
      <w:szCs w:val="20"/>
    </w:rPr>
  </w:style>
  <w:style w:type="paragraph" w:styleId="Subttulo">
    <w:name w:val="Subtitle"/>
    <w:basedOn w:val="Normal"/>
    <w:next w:val="Normal"/>
    <w:link w:val="SubttuloChar"/>
    <w:uiPriority w:val="11"/>
    <w:rsid w:val="008E1ABE"/>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8E1ABE"/>
    <w:rPr>
      <w:rFonts w:asciiTheme="majorHAnsi" w:eastAsiaTheme="majorEastAsia" w:hAnsiTheme="majorHAnsi" w:cstheme="majorBidi"/>
      <w:i/>
      <w:iCs/>
      <w:color w:val="4F81BD" w:themeColor="accent1"/>
      <w:spacing w:val="15"/>
    </w:rPr>
  </w:style>
  <w:style w:type="paragraph" w:customStyle="1" w:styleId="auxiliar1">
    <w:name w:val="auxiliar1"/>
    <w:basedOn w:val="Logo"/>
    <w:link w:val="auxiliar1Char"/>
    <w:rsid w:val="009121BE"/>
    <w:pPr>
      <w:ind w:left="0" w:right="357" w:firstLine="142"/>
      <w:jc w:val="left"/>
    </w:pPr>
    <w:rPr>
      <w:b w:val="0"/>
      <w:noProof/>
      <w:sz w:val="24"/>
      <w:szCs w:val="24"/>
    </w:rPr>
  </w:style>
  <w:style w:type="paragraph" w:customStyle="1" w:styleId="auxiliar2">
    <w:name w:val="auxiliar2"/>
    <w:basedOn w:val="Logo"/>
    <w:link w:val="auxiliar2Char"/>
    <w:rsid w:val="009121BE"/>
    <w:rPr>
      <w:sz w:val="6"/>
    </w:rPr>
  </w:style>
  <w:style w:type="character" w:customStyle="1" w:styleId="LogoChar">
    <w:name w:val="Logo Char"/>
    <w:basedOn w:val="Fontepargpadro"/>
    <w:link w:val="Logo"/>
    <w:uiPriority w:val="99"/>
    <w:rsid w:val="009121BE"/>
    <w:rPr>
      <w:rFonts w:ascii="Times New Roman" w:hAnsi="Times New Roman"/>
      <w:b/>
      <w:bCs/>
      <w:spacing w:val="4"/>
      <w:sz w:val="17"/>
      <w:szCs w:val="17"/>
    </w:rPr>
  </w:style>
  <w:style w:type="character" w:customStyle="1" w:styleId="auxiliar1Char">
    <w:name w:val="auxiliar1 Char"/>
    <w:basedOn w:val="LogoChar"/>
    <w:link w:val="auxiliar1"/>
    <w:rsid w:val="009121BE"/>
    <w:rPr>
      <w:rFonts w:ascii="Times New Roman" w:hAnsi="Times New Roman"/>
      <w:b w:val="0"/>
      <w:bCs/>
      <w:noProof/>
      <w:spacing w:val="4"/>
      <w:sz w:val="17"/>
      <w:szCs w:val="17"/>
    </w:rPr>
  </w:style>
  <w:style w:type="paragraph" w:customStyle="1" w:styleId="auxiliar3">
    <w:name w:val="auxiliar3"/>
    <w:basedOn w:val="Rodap"/>
    <w:link w:val="auxiliar3Char"/>
    <w:rsid w:val="009121BE"/>
    <w:pPr>
      <w:ind w:left="0"/>
    </w:pPr>
    <w:rPr>
      <w:sz w:val="2"/>
      <w:szCs w:val="2"/>
    </w:rPr>
  </w:style>
  <w:style w:type="character" w:customStyle="1" w:styleId="auxiliar2Char">
    <w:name w:val="auxiliar2 Char"/>
    <w:basedOn w:val="LogoChar"/>
    <w:link w:val="auxiliar2"/>
    <w:rsid w:val="009121BE"/>
    <w:rPr>
      <w:rFonts w:ascii="Times New Roman" w:hAnsi="Times New Roman"/>
      <w:b/>
      <w:bCs/>
      <w:spacing w:val="4"/>
      <w:sz w:val="6"/>
      <w:szCs w:val="17"/>
    </w:rPr>
  </w:style>
  <w:style w:type="character" w:customStyle="1" w:styleId="auxiliar3Char">
    <w:name w:val="auxiliar3 Char"/>
    <w:basedOn w:val="RodapChar"/>
    <w:link w:val="auxiliar3"/>
    <w:rsid w:val="009121BE"/>
    <w:rPr>
      <w:rFonts w:ascii="Times New Roman" w:hAnsi="Times New Roman"/>
      <w:sz w:val="2"/>
      <w:szCs w:val="2"/>
    </w:rPr>
  </w:style>
  <w:style w:type="paragraph" w:customStyle="1" w:styleId="Descrio">
    <w:name w:val="Descrição"/>
    <w:basedOn w:val="Cabealho"/>
    <w:link w:val="DescrioChar"/>
    <w:qFormat/>
    <w:rsid w:val="00F936AA"/>
    <w:pPr>
      <w:ind w:left="0" w:right="0"/>
      <w:jc w:val="center"/>
    </w:pPr>
  </w:style>
  <w:style w:type="character" w:customStyle="1" w:styleId="DescrioChar">
    <w:name w:val="Descrição Char"/>
    <w:basedOn w:val="CabealhoChar"/>
    <w:link w:val="Descrio"/>
    <w:rsid w:val="00F936AA"/>
    <w:rPr>
      <w:rFonts w:eastAsia="Times New Roman" w:cs="Arial"/>
      <w:b/>
    </w:rPr>
  </w:style>
  <w:style w:type="paragraph" w:styleId="PargrafodaLista">
    <w:name w:val="List Paragraph"/>
    <w:basedOn w:val="Normal"/>
    <w:uiPriority w:val="34"/>
    <w:qFormat/>
    <w:rsid w:val="00B3511E"/>
    <w:pPr>
      <w:ind w:left="720"/>
      <w:contextualSpacing/>
    </w:pPr>
  </w:style>
  <w:style w:type="paragraph" w:styleId="Textodenotaderodap">
    <w:name w:val="footnote text"/>
    <w:basedOn w:val="Normal"/>
    <w:link w:val="TextodenotaderodapChar"/>
    <w:uiPriority w:val="99"/>
    <w:semiHidden/>
    <w:unhideWhenUsed/>
    <w:rsid w:val="00F45ACE"/>
    <w:pPr>
      <w:spacing w:before="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5ACE"/>
    <w:rPr>
      <w:sz w:val="20"/>
      <w:szCs w:val="20"/>
    </w:rPr>
  </w:style>
  <w:style w:type="character" w:styleId="Refdenotaderodap">
    <w:name w:val="footnote reference"/>
    <w:basedOn w:val="Fontepargpadro"/>
    <w:uiPriority w:val="99"/>
    <w:semiHidden/>
    <w:unhideWhenUsed/>
    <w:rsid w:val="00F45ACE"/>
    <w:rPr>
      <w:vertAlign w:val="superscript"/>
    </w:rPr>
  </w:style>
  <w:style w:type="character" w:styleId="nfase">
    <w:name w:val="Emphasis"/>
    <w:basedOn w:val="Fontepargpadro"/>
    <w:uiPriority w:val="20"/>
    <w:qFormat/>
    <w:rsid w:val="00475DB7"/>
    <w:rPr>
      <w:i/>
      <w:iCs/>
    </w:rPr>
  </w:style>
  <w:style w:type="character" w:styleId="Hyperlink">
    <w:name w:val="Hyperlink"/>
    <w:basedOn w:val="Fontepargpadro"/>
    <w:uiPriority w:val="99"/>
    <w:unhideWhenUsed/>
    <w:rsid w:val="003457B8"/>
    <w:rPr>
      <w:color w:val="0000FF" w:themeColor="hyperlink"/>
      <w:u w:val="single"/>
    </w:rPr>
  </w:style>
  <w:style w:type="paragraph" w:customStyle="1" w:styleId="Default">
    <w:name w:val="Default"/>
    <w:rsid w:val="00EC7FB8"/>
    <w:pPr>
      <w:autoSpaceDE w:val="0"/>
      <w:autoSpaceDN w:val="0"/>
      <w:adjustRightInd w:val="0"/>
      <w:spacing w:before="0" w:line="240" w:lineRule="auto"/>
    </w:pPr>
    <w:rPr>
      <w:rFonts w:cs="Arial"/>
      <w:color w:val="000000"/>
    </w:rPr>
  </w:style>
  <w:style w:type="paragraph" w:styleId="NormalWeb">
    <w:name w:val="Normal (Web)"/>
    <w:basedOn w:val="Normal"/>
    <w:uiPriority w:val="99"/>
    <w:semiHidden/>
    <w:unhideWhenUsed/>
    <w:rsid w:val="0065521B"/>
    <w:pPr>
      <w:spacing w:before="100" w:beforeAutospacing="1" w:after="100" w:afterAutospacing="1"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pt-BR" w:eastAsia="pt-BR" w:bidi="ar-SA"/>
      </w:rPr>
    </w:rPrDefault>
    <w:pPrDefault>
      <w:pPr>
        <w:spacing w:before="240" w:line="360"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qFormat="1"/>
    <w:lsdException w:name="footer" w:unhideWhenUsed="0"/>
    <w:lsdException w:name="caption" w:uiPriority="35" w:qFormat="1"/>
    <w:lsdException w:name="annotation reference" w:unhideWhenUsed="0"/>
    <w:lsdException w:name="page number" w:unhideWhenUsed="0"/>
    <w:lsdException w:name="Title" w:semiHidden="0" w:uiPriority="10" w:unhideWhenUsed="0"/>
    <w:lsdException w:name="Signature" w:semiHidden="0" w:unhideWhenUsed="0"/>
    <w:lsdException w:name="Default Paragraph Font" w:unhideWhenUsed="0"/>
    <w:lsdException w:name="Body Text" w:uiPriority="0" w:unhideWhenUsed="0" w:qFormat="1"/>
    <w:lsdException w:name="Subtitle" w:semiHidden="0" w:uiPriority="11" w:unhideWhenUsed="0"/>
    <w:lsdException w:name="Date" w:semiHidden="0" w:unhideWhenUsed="0"/>
    <w:lsdException w:name="Body Text 2" w:unhideWhenUsed="0"/>
    <w:lsdException w:name="Block Text"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C264C"/>
  </w:style>
  <w:style w:type="paragraph" w:styleId="Ttulo1">
    <w:name w:val="heading 1"/>
    <w:next w:val="Corpodetexto"/>
    <w:link w:val="Ttulo1Char"/>
    <w:qFormat/>
    <w:rsid w:val="00446AF3"/>
    <w:pPr>
      <w:keepNext/>
      <w:numPr>
        <w:numId w:val="4"/>
      </w:numPr>
      <w:ind w:right="198"/>
      <w:contextualSpacing/>
      <w:outlineLvl w:val="0"/>
    </w:pPr>
    <w:rPr>
      <w:rFonts w:eastAsia="Times New Roman" w:cs="Arial"/>
      <w:b/>
      <w:bCs/>
      <w:caps/>
    </w:rPr>
  </w:style>
  <w:style w:type="paragraph" w:styleId="Ttulo2">
    <w:name w:val="heading 2"/>
    <w:basedOn w:val="Ttulo1"/>
    <w:next w:val="Corpodetexto"/>
    <w:link w:val="Ttulo2Char"/>
    <w:qFormat/>
    <w:rsid w:val="0058783C"/>
    <w:pPr>
      <w:numPr>
        <w:ilvl w:val="1"/>
      </w:numPr>
      <w:tabs>
        <w:tab w:val="left" w:pos="142"/>
      </w:tabs>
      <w:spacing w:line="240" w:lineRule="auto"/>
      <w:jc w:val="both"/>
      <w:outlineLvl w:val="1"/>
    </w:pPr>
    <w:rPr>
      <w:caps w:val="0"/>
      <w:szCs w:val="20"/>
    </w:rPr>
  </w:style>
  <w:style w:type="paragraph" w:styleId="Ttulo3">
    <w:name w:val="heading 3"/>
    <w:basedOn w:val="Ttulo2"/>
    <w:next w:val="Corpodetexto"/>
    <w:link w:val="Ttulo3Char"/>
    <w:qFormat/>
    <w:rsid w:val="009B2EC5"/>
    <w:pPr>
      <w:numPr>
        <w:ilvl w:val="2"/>
      </w:numPr>
      <w:outlineLvl w:val="2"/>
    </w:pPr>
  </w:style>
  <w:style w:type="paragraph" w:styleId="Ttulo4">
    <w:name w:val="heading 4"/>
    <w:basedOn w:val="Ttulo3"/>
    <w:next w:val="Normal"/>
    <w:link w:val="Ttulo4Char"/>
    <w:rsid w:val="009B2EC5"/>
    <w:pPr>
      <w:numPr>
        <w:ilvl w:val="3"/>
      </w:numPr>
      <w:outlineLvl w:val="3"/>
    </w:pPr>
  </w:style>
  <w:style w:type="paragraph" w:styleId="Ttulo5">
    <w:name w:val="heading 5"/>
    <w:basedOn w:val="Normal"/>
    <w:next w:val="Normal"/>
    <w:link w:val="Ttulo5Char"/>
    <w:uiPriority w:val="99"/>
    <w:semiHidden/>
    <w:pPr>
      <w:keepNext/>
      <w:outlineLvl w:val="4"/>
    </w:pPr>
    <w:rPr>
      <w:rFonts w:cs="Arial"/>
      <w:b/>
      <w:bCs/>
    </w:rPr>
  </w:style>
  <w:style w:type="paragraph" w:styleId="Ttulo6">
    <w:name w:val="heading 6"/>
    <w:basedOn w:val="Normal"/>
    <w:next w:val="Normal"/>
    <w:link w:val="Ttulo6Char"/>
    <w:uiPriority w:val="99"/>
    <w:semiHidden/>
    <w:pPr>
      <w:keepNext/>
      <w:ind w:left="-68"/>
      <w:outlineLvl w:val="5"/>
    </w:pPr>
    <w:rPr>
      <w:b/>
      <w:bCs/>
      <w:sz w:val="12"/>
      <w:szCs w:val="1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7954"/>
    <w:rPr>
      <w:rFonts w:eastAsia="Times New Roman" w:cs="Arial"/>
      <w:b/>
      <w:bCs/>
      <w:caps/>
    </w:rPr>
  </w:style>
  <w:style w:type="character" w:customStyle="1" w:styleId="Ttulo2Char">
    <w:name w:val="Título 2 Char"/>
    <w:basedOn w:val="Fontepargpadro"/>
    <w:link w:val="Ttulo2"/>
    <w:rsid w:val="00707954"/>
    <w:rPr>
      <w:rFonts w:eastAsia="Times New Roman" w:cs="Arial"/>
      <w:b/>
      <w:bCs/>
      <w:szCs w:val="20"/>
    </w:rPr>
  </w:style>
  <w:style w:type="character" w:customStyle="1" w:styleId="Ttulo3Char">
    <w:name w:val="Título 3 Char"/>
    <w:basedOn w:val="Fontepargpadro"/>
    <w:link w:val="Ttulo3"/>
    <w:rsid w:val="00707954"/>
    <w:rPr>
      <w:rFonts w:eastAsia="Times New Roman" w:cs="Arial"/>
      <w:b/>
      <w:bCs/>
      <w:szCs w:val="20"/>
    </w:rPr>
  </w:style>
  <w:style w:type="character" w:customStyle="1" w:styleId="Ttulo4Char">
    <w:name w:val="Título 4 Char"/>
    <w:basedOn w:val="Fontepargpadro"/>
    <w:link w:val="Ttulo4"/>
    <w:rsid w:val="00707954"/>
    <w:rPr>
      <w:rFonts w:eastAsia="Times New Roman" w:cs="Arial"/>
      <w:b/>
      <w:bCs/>
      <w:szCs w:val="20"/>
    </w:rPr>
  </w:style>
  <w:style w:type="character" w:customStyle="1" w:styleId="Ttulo5Char">
    <w:name w:val="Título 5 Char"/>
    <w:basedOn w:val="Fontepargpadro"/>
    <w:link w:val="Ttulo5"/>
    <w:uiPriority w:val="99"/>
    <w:semiHidden/>
    <w:rsid w:val="004B5FEC"/>
    <w:rPr>
      <w:rFonts w:ascii="Arial" w:hAnsi="Arial" w:cs="Arial"/>
      <w:b/>
      <w:bCs/>
      <w:sz w:val="24"/>
      <w:szCs w:val="24"/>
    </w:rPr>
  </w:style>
  <w:style w:type="character" w:customStyle="1" w:styleId="Ttulo6Char">
    <w:name w:val="Título 6 Char"/>
    <w:basedOn w:val="Fontepargpadro"/>
    <w:link w:val="Ttulo6"/>
    <w:uiPriority w:val="99"/>
    <w:semiHidden/>
    <w:rsid w:val="004B5FEC"/>
    <w:rPr>
      <w:rFonts w:ascii="Arial" w:hAnsi="Arial" w:cs="Times New Roman"/>
      <w:b/>
      <w:bCs/>
      <w:sz w:val="12"/>
      <w:szCs w:val="12"/>
    </w:rPr>
  </w:style>
  <w:style w:type="paragraph" w:styleId="Cabealho">
    <w:name w:val="header"/>
    <w:link w:val="CabealhoChar"/>
    <w:uiPriority w:val="99"/>
    <w:qFormat/>
    <w:rsid w:val="0058783C"/>
    <w:pPr>
      <w:tabs>
        <w:tab w:val="left" w:pos="8040"/>
      </w:tabs>
      <w:spacing w:before="0" w:line="240" w:lineRule="auto"/>
      <w:ind w:left="142" w:right="-1"/>
      <w:jc w:val="both"/>
    </w:pPr>
    <w:rPr>
      <w:rFonts w:eastAsia="Times New Roman" w:cs="Arial"/>
      <w:b/>
    </w:rPr>
  </w:style>
  <w:style w:type="character" w:customStyle="1" w:styleId="CabealhoChar">
    <w:name w:val="Cabeçalho Char"/>
    <w:basedOn w:val="Fontepargpadro"/>
    <w:link w:val="Cabealho"/>
    <w:uiPriority w:val="99"/>
    <w:rsid w:val="0058783C"/>
    <w:rPr>
      <w:rFonts w:eastAsia="Times New Roman" w:cs="Arial"/>
      <w:b/>
    </w:rPr>
  </w:style>
  <w:style w:type="paragraph" w:styleId="Rodap">
    <w:name w:val="footer"/>
    <w:basedOn w:val="Normal"/>
    <w:link w:val="RodapChar"/>
    <w:uiPriority w:val="99"/>
    <w:rsid w:val="006376F2"/>
    <w:pPr>
      <w:tabs>
        <w:tab w:val="left" w:pos="9639"/>
      </w:tabs>
      <w:spacing w:before="0" w:line="240" w:lineRule="auto"/>
      <w:ind w:left="176"/>
    </w:pPr>
    <w:rPr>
      <w:rFonts w:ascii="Times New Roman" w:hAnsi="Times New Roman"/>
      <w:sz w:val="16"/>
      <w:szCs w:val="16"/>
    </w:rPr>
  </w:style>
  <w:style w:type="character" w:customStyle="1" w:styleId="RodapChar">
    <w:name w:val="Rodapé Char"/>
    <w:basedOn w:val="Fontepargpadro"/>
    <w:link w:val="Rodap"/>
    <w:uiPriority w:val="99"/>
    <w:rsid w:val="006376F2"/>
    <w:rPr>
      <w:rFonts w:ascii="Times New Roman" w:hAnsi="Times New Roman"/>
      <w:sz w:val="16"/>
      <w:szCs w:val="16"/>
    </w:rPr>
  </w:style>
  <w:style w:type="character" w:styleId="Nmerodepgina">
    <w:name w:val="page number"/>
    <w:uiPriority w:val="99"/>
    <w:rsid w:val="006B5140"/>
    <w:rPr>
      <w:rFonts w:ascii="Times New Roman" w:hAnsi="Times New Roman" w:cs="Arial"/>
      <w:sz w:val="20"/>
      <w:szCs w:val="16"/>
    </w:rPr>
  </w:style>
  <w:style w:type="paragraph" w:styleId="Assinatura">
    <w:name w:val="Signature"/>
    <w:link w:val="AssinaturaChar"/>
    <w:uiPriority w:val="99"/>
    <w:rsid w:val="0058783C"/>
    <w:pPr>
      <w:adjustRightInd w:val="0"/>
      <w:spacing w:before="0" w:line="240" w:lineRule="auto"/>
      <w:jc w:val="center"/>
    </w:pPr>
    <w:rPr>
      <w:rFonts w:cs="Arial"/>
      <w:b/>
    </w:rPr>
  </w:style>
  <w:style w:type="character" w:customStyle="1" w:styleId="AssinaturaChar">
    <w:name w:val="Assinatura Char"/>
    <w:basedOn w:val="Fontepargpadro"/>
    <w:link w:val="Assinatura"/>
    <w:uiPriority w:val="99"/>
    <w:rsid w:val="0058783C"/>
    <w:rPr>
      <w:rFonts w:cs="Arial"/>
      <w:b/>
    </w:rPr>
  </w:style>
  <w:style w:type="paragraph" w:styleId="Data">
    <w:name w:val="Date"/>
    <w:basedOn w:val="Normal"/>
    <w:next w:val="Normal"/>
    <w:link w:val="DataChar"/>
    <w:uiPriority w:val="99"/>
    <w:rsid w:val="009B2EC5"/>
    <w:pPr>
      <w:adjustRightInd w:val="0"/>
      <w:spacing w:before="120"/>
      <w:ind w:right="-1"/>
      <w:jc w:val="center"/>
    </w:pPr>
    <w:rPr>
      <w:rFonts w:eastAsia="SimSun" w:cs="Arial"/>
      <w:bCs/>
      <w:iCs/>
      <w:lang w:eastAsia="ar-SA"/>
    </w:rPr>
  </w:style>
  <w:style w:type="character" w:customStyle="1" w:styleId="DataChar">
    <w:name w:val="Data Char"/>
    <w:basedOn w:val="Fontepargpadro"/>
    <w:link w:val="Data"/>
    <w:uiPriority w:val="99"/>
    <w:rsid w:val="009B2EC5"/>
    <w:rPr>
      <w:rFonts w:ascii="Arial" w:eastAsia="SimSun" w:hAnsi="Arial" w:cs="Arial"/>
      <w:bCs/>
      <w:iCs/>
      <w:sz w:val="24"/>
      <w:szCs w:val="24"/>
      <w:lang w:eastAsia="ar-SA"/>
    </w:rPr>
  </w:style>
  <w:style w:type="paragraph" w:customStyle="1" w:styleId="SubtituloManif">
    <w:name w:val="Subtitulo Manif"/>
    <w:basedOn w:val="Normal"/>
    <w:next w:val="Corpodetexto"/>
    <w:link w:val="SubtituloManifChar"/>
    <w:uiPriority w:val="1"/>
    <w:qFormat/>
    <w:rsid w:val="009B2EC5"/>
    <w:pPr>
      <w:ind w:left="142" w:right="708"/>
      <w:jc w:val="both"/>
    </w:pPr>
    <w:rPr>
      <w:rFonts w:eastAsia="SimSun"/>
      <w:szCs w:val="20"/>
      <w:u w:val="single"/>
      <w:lang w:eastAsia="ar-SA"/>
    </w:rPr>
  </w:style>
  <w:style w:type="paragraph" w:styleId="Corpodetexto">
    <w:name w:val="Body Text"/>
    <w:basedOn w:val="Normal"/>
    <w:link w:val="CorpodetextoChar"/>
    <w:qFormat/>
    <w:rsid w:val="0072243F"/>
  </w:style>
  <w:style w:type="character" w:customStyle="1" w:styleId="CorpodetextoChar">
    <w:name w:val="Corpo de texto Char"/>
    <w:basedOn w:val="Fontepargpadro"/>
    <w:link w:val="Corpodetexto"/>
    <w:rsid w:val="0072243F"/>
  </w:style>
  <w:style w:type="character" w:customStyle="1" w:styleId="SubtituloManifChar">
    <w:name w:val="Subtitulo Manif Char"/>
    <w:basedOn w:val="Fontepargpadro"/>
    <w:link w:val="SubtituloManif"/>
    <w:uiPriority w:val="1"/>
    <w:rsid w:val="00707954"/>
    <w:rPr>
      <w:rFonts w:eastAsia="SimSun"/>
      <w:szCs w:val="20"/>
      <w:u w:val="single"/>
      <w:lang w:eastAsia="ar-SA"/>
    </w:rPr>
  </w:style>
  <w:style w:type="paragraph" w:customStyle="1" w:styleId="Itemizao">
    <w:name w:val="Itemização"/>
    <w:uiPriority w:val="2"/>
    <w:qFormat/>
    <w:rsid w:val="00C96F25"/>
    <w:pPr>
      <w:numPr>
        <w:numId w:val="3"/>
      </w:numPr>
      <w:ind w:left="426" w:hanging="284"/>
      <w:jc w:val="both"/>
    </w:pPr>
    <w:rPr>
      <w:rFonts w:eastAsia="Times New Roman"/>
      <w:szCs w:val="20"/>
    </w:rPr>
  </w:style>
  <w:style w:type="table" w:styleId="Tabelacomgrade">
    <w:name w:val="Table Grid"/>
    <w:basedOn w:val="Tabelanormal"/>
    <w:rsid w:val="00A96A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Manifestacao">
    <w:name w:val="Item Manifestacao"/>
    <w:next w:val="Corpodetexto"/>
    <w:link w:val="ItemManifestacaoChar"/>
    <w:uiPriority w:val="1"/>
    <w:qFormat/>
    <w:rsid w:val="00C96F25"/>
    <w:pPr>
      <w:numPr>
        <w:numId w:val="14"/>
      </w:numPr>
      <w:tabs>
        <w:tab w:val="left" w:pos="567"/>
      </w:tabs>
      <w:spacing w:line="240" w:lineRule="auto"/>
      <w:ind w:left="142" w:right="198" w:firstLine="0"/>
      <w:outlineLvl w:val="1"/>
    </w:pPr>
    <w:rPr>
      <w:rFonts w:eastAsia="Times New Roman" w:cs="Times New Roman"/>
      <w:b/>
      <w:szCs w:val="20"/>
    </w:rPr>
  </w:style>
  <w:style w:type="paragraph" w:styleId="Textodebalo">
    <w:name w:val="Balloon Text"/>
    <w:basedOn w:val="Normal"/>
    <w:link w:val="TextodebaloChar"/>
    <w:uiPriority w:val="99"/>
    <w:semiHidden/>
    <w:unhideWhenUsed/>
    <w:rsid w:val="005338CA"/>
    <w:rPr>
      <w:rFonts w:ascii="Tahoma" w:hAnsi="Tahoma" w:cs="Tahoma"/>
      <w:sz w:val="16"/>
      <w:szCs w:val="16"/>
    </w:rPr>
  </w:style>
  <w:style w:type="character" w:customStyle="1" w:styleId="TextodebaloChar">
    <w:name w:val="Texto de balão Char"/>
    <w:basedOn w:val="Fontepargpadro"/>
    <w:link w:val="Textodebalo"/>
    <w:uiPriority w:val="99"/>
    <w:semiHidden/>
    <w:rsid w:val="005338CA"/>
    <w:rPr>
      <w:rFonts w:ascii="Tahoma" w:hAnsi="Tahoma" w:cs="Tahoma"/>
      <w:sz w:val="16"/>
      <w:szCs w:val="16"/>
    </w:rPr>
  </w:style>
  <w:style w:type="character" w:customStyle="1" w:styleId="ItemManifestacaoChar">
    <w:name w:val="Item Manifestacao Char"/>
    <w:basedOn w:val="CorpodetextoChar"/>
    <w:link w:val="ItemManifestacao"/>
    <w:uiPriority w:val="1"/>
    <w:rsid w:val="00C96F25"/>
    <w:rPr>
      <w:rFonts w:eastAsia="Times New Roman" w:cs="Times New Roman"/>
      <w:b/>
      <w:szCs w:val="20"/>
    </w:rPr>
  </w:style>
  <w:style w:type="paragraph" w:customStyle="1" w:styleId="Concluses">
    <w:name w:val="Conclusões"/>
    <w:basedOn w:val="Ttulo2"/>
    <w:link w:val="ConclusesChar"/>
    <w:uiPriority w:val="1"/>
    <w:qFormat/>
    <w:rsid w:val="00C96F25"/>
    <w:rPr>
      <w:b w:val="0"/>
    </w:rPr>
  </w:style>
  <w:style w:type="character" w:customStyle="1" w:styleId="ConclusesChar">
    <w:name w:val="Conclusões Char"/>
    <w:basedOn w:val="Ttulo2Char"/>
    <w:link w:val="Concluses"/>
    <w:uiPriority w:val="1"/>
    <w:rsid w:val="00C96F25"/>
    <w:rPr>
      <w:rFonts w:eastAsia="Times New Roman" w:cs="Arial"/>
      <w:b w:val="0"/>
      <w:bCs/>
      <w:szCs w:val="20"/>
    </w:rPr>
  </w:style>
  <w:style w:type="paragraph" w:customStyle="1" w:styleId="Logo">
    <w:name w:val="Logo"/>
    <w:link w:val="LogoChar"/>
    <w:uiPriority w:val="99"/>
    <w:rsid w:val="0058783C"/>
    <w:pPr>
      <w:spacing w:before="0" w:line="240" w:lineRule="auto"/>
      <w:ind w:left="-68"/>
      <w:jc w:val="center"/>
    </w:pPr>
    <w:rPr>
      <w:rFonts w:ascii="Times New Roman" w:hAnsi="Times New Roman"/>
      <w:b/>
      <w:bCs/>
      <w:spacing w:val="4"/>
      <w:sz w:val="17"/>
      <w:szCs w:val="17"/>
    </w:rPr>
  </w:style>
  <w:style w:type="paragraph" w:customStyle="1" w:styleId="NProcesso">
    <w:name w:val="N_Processo"/>
    <w:uiPriority w:val="99"/>
    <w:rsid w:val="008E1ABE"/>
    <w:pPr>
      <w:framePr w:w="2431" w:h="433" w:hSpace="141" w:wrap="auto" w:vAnchor="text" w:hAnchor="page" w:x="9067" w:y="-1041"/>
      <w:spacing w:before="0" w:line="240" w:lineRule="auto"/>
      <w:ind w:right="136"/>
      <w:contextualSpacing/>
      <w:jc w:val="right"/>
    </w:pPr>
    <w:rPr>
      <w:rFonts w:cs="Arial"/>
      <w:bCs/>
    </w:rPr>
  </w:style>
  <w:style w:type="paragraph" w:styleId="Citao">
    <w:name w:val="Quote"/>
    <w:link w:val="CitaoChar"/>
    <w:uiPriority w:val="1"/>
    <w:qFormat/>
    <w:rsid w:val="00A3339E"/>
    <w:pPr>
      <w:spacing w:line="240" w:lineRule="auto"/>
      <w:ind w:left="2268"/>
      <w:jc w:val="both"/>
    </w:pPr>
    <w:rPr>
      <w:rFonts w:eastAsia="Times New Roman"/>
      <w:sz w:val="22"/>
      <w:szCs w:val="20"/>
    </w:rPr>
  </w:style>
  <w:style w:type="character" w:customStyle="1" w:styleId="CitaoChar">
    <w:name w:val="Citação Char"/>
    <w:basedOn w:val="Fontepargpadro"/>
    <w:link w:val="Citao"/>
    <w:uiPriority w:val="1"/>
    <w:rsid w:val="00A3339E"/>
    <w:rPr>
      <w:rFonts w:eastAsia="Times New Roman"/>
      <w:sz w:val="22"/>
      <w:szCs w:val="20"/>
    </w:rPr>
  </w:style>
  <w:style w:type="paragraph" w:styleId="Ttulo">
    <w:name w:val="Title"/>
    <w:basedOn w:val="Normal"/>
    <w:next w:val="Normal"/>
    <w:link w:val="TtuloChar"/>
    <w:uiPriority w:val="10"/>
    <w:rsid w:val="00FC264C"/>
    <w:pPr>
      <w:widowControl w:val="0"/>
      <w:spacing w:before="120"/>
      <w:jc w:val="center"/>
    </w:pPr>
    <w:rPr>
      <w:rFonts w:eastAsia="Times New Roman" w:cs="Arial"/>
      <w:b/>
      <w:bCs/>
      <w:iCs/>
    </w:rPr>
  </w:style>
  <w:style w:type="character" w:customStyle="1" w:styleId="TtuloChar">
    <w:name w:val="Título Char"/>
    <w:basedOn w:val="Fontepargpadro"/>
    <w:link w:val="Ttulo"/>
    <w:uiPriority w:val="10"/>
    <w:rsid w:val="00FC264C"/>
    <w:rPr>
      <w:rFonts w:eastAsia="Times New Roman" w:cs="Arial"/>
      <w:b/>
      <w:bCs/>
      <w:iCs/>
    </w:rPr>
  </w:style>
  <w:style w:type="paragraph" w:customStyle="1" w:styleId="Tabela-Ttulo">
    <w:name w:val="Tabela-Título"/>
    <w:uiPriority w:val="2"/>
    <w:qFormat/>
    <w:rsid w:val="00FC264C"/>
    <w:pPr>
      <w:spacing w:before="0" w:line="240" w:lineRule="auto"/>
      <w:jc w:val="center"/>
    </w:pPr>
    <w:rPr>
      <w:rFonts w:eastAsia="Times New Roman"/>
      <w:b/>
      <w:sz w:val="18"/>
      <w:szCs w:val="20"/>
    </w:rPr>
  </w:style>
  <w:style w:type="paragraph" w:customStyle="1" w:styleId="Tabela-texto">
    <w:name w:val="Tabela-texto"/>
    <w:basedOn w:val="Tabela-Ttulo"/>
    <w:uiPriority w:val="2"/>
    <w:qFormat/>
    <w:rsid w:val="00FC264C"/>
    <w:rPr>
      <w:b w:val="0"/>
    </w:rPr>
  </w:style>
  <w:style w:type="paragraph" w:styleId="Legenda">
    <w:name w:val="caption"/>
    <w:uiPriority w:val="35"/>
    <w:unhideWhenUsed/>
    <w:qFormat/>
    <w:rsid w:val="00702B16"/>
    <w:pPr>
      <w:spacing w:before="0" w:line="240" w:lineRule="auto"/>
    </w:pPr>
    <w:rPr>
      <w:bCs/>
      <w:sz w:val="20"/>
      <w:szCs w:val="18"/>
    </w:rPr>
  </w:style>
  <w:style w:type="paragraph" w:customStyle="1" w:styleId="Fonte">
    <w:name w:val="Fonte"/>
    <w:next w:val="Corpodetexto"/>
    <w:rsid w:val="00702B16"/>
    <w:pPr>
      <w:spacing w:before="0" w:line="240" w:lineRule="auto"/>
      <w:jc w:val="both"/>
    </w:pPr>
    <w:rPr>
      <w:rFonts w:eastAsia="Times New Roman"/>
      <w:sz w:val="16"/>
      <w:szCs w:val="20"/>
    </w:rPr>
  </w:style>
  <w:style w:type="paragraph" w:customStyle="1" w:styleId="Figura">
    <w:name w:val="Figura"/>
    <w:next w:val="Fonte"/>
    <w:rsid w:val="00702B16"/>
    <w:pPr>
      <w:spacing w:before="0" w:line="240" w:lineRule="auto"/>
      <w:jc w:val="center"/>
    </w:pPr>
    <w:rPr>
      <w:rFonts w:eastAsia="Times New Roman"/>
      <w:noProof/>
      <w:sz w:val="16"/>
      <w:szCs w:val="20"/>
    </w:rPr>
  </w:style>
  <w:style w:type="paragraph" w:styleId="Subttulo">
    <w:name w:val="Subtitle"/>
    <w:basedOn w:val="Normal"/>
    <w:next w:val="Normal"/>
    <w:link w:val="SubttuloChar"/>
    <w:uiPriority w:val="11"/>
    <w:rsid w:val="008E1ABE"/>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8E1ABE"/>
    <w:rPr>
      <w:rFonts w:asciiTheme="majorHAnsi" w:eastAsiaTheme="majorEastAsia" w:hAnsiTheme="majorHAnsi" w:cstheme="majorBidi"/>
      <w:i/>
      <w:iCs/>
      <w:color w:val="4F81BD" w:themeColor="accent1"/>
      <w:spacing w:val="15"/>
    </w:rPr>
  </w:style>
  <w:style w:type="paragraph" w:customStyle="1" w:styleId="auxiliar1">
    <w:name w:val="auxiliar1"/>
    <w:basedOn w:val="Logo"/>
    <w:link w:val="auxiliar1Char"/>
    <w:rsid w:val="009121BE"/>
    <w:pPr>
      <w:ind w:left="0" w:right="357" w:firstLine="142"/>
      <w:jc w:val="left"/>
    </w:pPr>
    <w:rPr>
      <w:b w:val="0"/>
      <w:noProof/>
      <w:sz w:val="24"/>
      <w:szCs w:val="24"/>
    </w:rPr>
  </w:style>
  <w:style w:type="paragraph" w:customStyle="1" w:styleId="auxiliar2">
    <w:name w:val="auxiliar2"/>
    <w:basedOn w:val="Logo"/>
    <w:link w:val="auxiliar2Char"/>
    <w:rsid w:val="009121BE"/>
    <w:rPr>
      <w:sz w:val="6"/>
    </w:rPr>
  </w:style>
  <w:style w:type="character" w:customStyle="1" w:styleId="LogoChar">
    <w:name w:val="Logo Char"/>
    <w:basedOn w:val="Fontepargpadro"/>
    <w:link w:val="Logo"/>
    <w:uiPriority w:val="99"/>
    <w:rsid w:val="009121BE"/>
    <w:rPr>
      <w:rFonts w:ascii="Times New Roman" w:hAnsi="Times New Roman"/>
      <w:b/>
      <w:bCs/>
      <w:spacing w:val="4"/>
      <w:sz w:val="17"/>
      <w:szCs w:val="17"/>
    </w:rPr>
  </w:style>
  <w:style w:type="character" w:customStyle="1" w:styleId="auxiliar1Char">
    <w:name w:val="auxiliar1 Char"/>
    <w:basedOn w:val="LogoChar"/>
    <w:link w:val="auxiliar1"/>
    <w:rsid w:val="009121BE"/>
    <w:rPr>
      <w:rFonts w:ascii="Times New Roman" w:hAnsi="Times New Roman"/>
      <w:b w:val="0"/>
      <w:bCs/>
      <w:noProof/>
      <w:spacing w:val="4"/>
      <w:sz w:val="17"/>
      <w:szCs w:val="17"/>
    </w:rPr>
  </w:style>
  <w:style w:type="paragraph" w:customStyle="1" w:styleId="auxiliar3">
    <w:name w:val="auxiliar3"/>
    <w:basedOn w:val="Rodap"/>
    <w:link w:val="auxiliar3Char"/>
    <w:rsid w:val="009121BE"/>
    <w:pPr>
      <w:ind w:left="0"/>
    </w:pPr>
    <w:rPr>
      <w:sz w:val="2"/>
      <w:szCs w:val="2"/>
    </w:rPr>
  </w:style>
  <w:style w:type="character" w:customStyle="1" w:styleId="auxiliar2Char">
    <w:name w:val="auxiliar2 Char"/>
    <w:basedOn w:val="LogoChar"/>
    <w:link w:val="auxiliar2"/>
    <w:rsid w:val="009121BE"/>
    <w:rPr>
      <w:rFonts w:ascii="Times New Roman" w:hAnsi="Times New Roman"/>
      <w:b/>
      <w:bCs/>
      <w:spacing w:val="4"/>
      <w:sz w:val="6"/>
      <w:szCs w:val="17"/>
    </w:rPr>
  </w:style>
  <w:style w:type="character" w:customStyle="1" w:styleId="auxiliar3Char">
    <w:name w:val="auxiliar3 Char"/>
    <w:basedOn w:val="RodapChar"/>
    <w:link w:val="auxiliar3"/>
    <w:rsid w:val="009121BE"/>
    <w:rPr>
      <w:rFonts w:ascii="Times New Roman" w:hAnsi="Times New Roman"/>
      <w:sz w:val="2"/>
      <w:szCs w:val="2"/>
    </w:rPr>
  </w:style>
  <w:style w:type="paragraph" w:customStyle="1" w:styleId="Descrio">
    <w:name w:val="Descrição"/>
    <w:basedOn w:val="Cabealho"/>
    <w:link w:val="DescrioChar"/>
    <w:qFormat/>
    <w:rsid w:val="00F936AA"/>
    <w:pPr>
      <w:ind w:left="0" w:right="0"/>
      <w:jc w:val="center"/>
    </w:pPr>
  </w:style>
  <w:style w:type="character" w:customStyle="1" w:styleId="DescrioChar">
    <w:name w:val="Descrição Char"/>
    <w:basedOn w:val="CabealhoChar"/>
    <w:link w:val="Descrio"/>
    <w:rsid w:val="00F936AA"/>
    <w:rPr>
      <w:rFonts w:eastAsia="Times New Roman" w:cs="Arial"/>
      <w:b/>
    </w:rPr>
  </w:style>
  <w:style w:type="paragraph" w:styleId="PargrafodaLista">
    <w:name w:val="List Paragraph"/>
    <w:basedOn w:val="Normal"/>
    <w:uiPriority w:val="34"/>
    <w:qFormat/>
    <w:rsid w:val="00B3511E"/>
    <w:pPr>
      <w:ind w:left="720"/>
      <w:contextualSpacing/>
    </w:pPr>
  </w:style>
  <w:style w:type="paragraph" w:styleId="Textodenotaderodap">
    <w:name w:val="footnote text"/>
    <w:basedOn w:val="Normal"/>
    <w:link w:val="TextodenotaderodapChar"/>
    <w:uiPriority w:val="99"/>
    <w:semiHidden/>
    <w:unhideWhenUsed/>
    <w:rsid w:val="00F45ACE"/>
    <w:pPr>
      <w:spacing w:before="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5ACE"/>
    <w:rPr>
      <w:sz w:val="20"/>
      <w:szCs w:val="20"/>
    </w:rPr>
  </w:style>
  <w:style w:type="character" w:styleId="Refdenotaderodap">
    <w:name w:val="footnote reference"/>
    <w:basedOn w:val="Fontepargpadro"/>
    <w:uiPriority w:val="99"/>
    <w:semiHidden/>
    <w:unhideWhenUsed/>
    <w:rsid w:val="00F45ACE"/>
    <w:rPr>
      <w:vertAlign w:val="superscript"/>
    </w:rPr>
  </w:style>
  <w:style w:type="character" w:styleId="nfase">
    <w:name w:val="Emphasis"/>
    <w:basedOn w:val="Fontepargpadro"/>
    <w:uiPriority w:val="20"/>
    <w:qFormat/>
    <w:rsid w:val="00475DB7"/>
    <w:rPr>
      <w:i/>
      <w:iCs/>
    </w:rPr>
  </w:style>
  <w:style w:type="character" w:styleId="Hyperlink">
    <w:name w:val="Hyperlink"/>
    <w:basedOn w:val="Fontepargpadro"/>
    <w:uiPriority w:val="99"/>
    <w:unhideWhenUsed/>
    <w:rsid w:val="003457B8"/>
    <w:rPr>
      <w:color w:val="0000FF" w:themeColor="hyperlink"/>
      <w:u w:val="single"/>
    </w:rPr>
  </w:style>
  <w:style w:type="paragraph" w:customStyle="1" w:styleId="Default">
    <w:name w:val="Default"/>
    <w:rsid w:val="00EC7FB8"/>
    <w:pPr>
      <w:autoSpaceDE w:val="0"/>
      <w:autoSpaceDN w:val="0"/>
      <w:adjustRightInd w:val="0"/>
      <w:spacing w:before="0" w:line="240" w:lineRule="auto"/>
    </w:pPr>
    <w:rPr>
      <w:rFonts w:cs="Arial"/>
      <w:color w:val="000000"/>
    </w:rPr>
  </w:style>
  <w:style w:type="paragraph" w:styleId="NormalWeb">
    <w:name w:val="Normal (Web)"/>
    <w:basedOn w:val="Normal"/>
    <w:uiPriority w:val="99"/>
    <w:semiHidden/>
    <w:unhideWhenUsed/>
    <w:rsid w:val="0065521B"/>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507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2066781">
          <w:marLeft w:val="0"/>
          <w:marRight w:val="0"/>
          <w:marTop w:val="0"/>
          <w:marBottom w:val="0"/>
          <w:divBdr>
            <w:top w:val="none" w:sz="0" w:space="0" w:color="auto"/>
            <w:left w:val="none" w:sz="0" w:space="0" w:color="auto"/>
            <w:bottom w:val="single" w:sz="6" w:space="9" w:color="C8C8C8"/>
            <w:right w:val="none" w:sz="0" w:space="0" w:color="auto"/>
          </w:divBdr>
          <w:divsChild>
            <w:div w:id="194985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7455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40504163">
          <w:marLeft w:val="0"/>
          <w:marRight w:val="0"/>
          <w:marTop w:val="0"/>
          <w:marBottom w:val="0"/>
          <w:divBdr>
            <w:top w:val="none" w:sz="0" w:space="0" w:color="auto"/>
            <w:left w:val="none" w:sz="0" w:space="0" w:color="auto"/>
            <w:bottom w:val="single" w:sz="6" w:space="9" w:color="C8C8C8"/>
            <w:right w:val="none" w:sz="0" w:space="0" w:color="auto"/>
          </w:divBdr>
          <w:divsChild>
            <w:div w:id="1515609180">
              <w:marLeft w:val="0"/>
              <w:marRight w:val="0"/>
              <w:marTop w:val="0"/>
              <w:marBottom w:val="0"/>
              <w:divBdr>
                <w:top w:val="none" w:sz="0" w:space="0" w:color="auto"/>
                <w:left w:val="none" w:sz="0" w:space="0" w:color="auto"/>
                <w:bottom w:val="none" w:sz="0" w:space="0" w:color="auto"/>
                <w:right w:val="none" w:sz="0" w:space="0" w:color="auto"/>
              </w:divBdr>
            </w:div>
            <w:div w:id="1248922374">
              <w:marLeft w:val="0"/>
              <w:marRight w:val="0"/>
              <w:marTop w:val="0"/>
              <w:marBottom w:val="0"/>
              <w:divBdr>
                <w:top w:val="none" w:sz="0" w:space="0" w:color="auto"/>
                <w:left w:val="none" w:sz="0" w:space="0" w:color="auto"/>
                <w:bottom w:val="none" w:sz="0" w:space="0" w:color="auto"/>
                <w:right w:val="none" w:sz="0" w:space="0" w:color="auto"/>
              </w:divBdr>
            </w:div>
            <w:div w:id="16097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8055">
      <w:bodyDiv w:val="1"/>
      <w:marLeft w:val="0"/>
      <w:marRight w:val="0"/>
      <w:marTop w:val="0"/>
      <w:marBottom w:val="0"/>
      <w:divBdr>
        <w:top w:val="none" w:sz="0" w:space="0" w:color="auto"/>
        <w:left w:val="none" w:sz="0" w:space="0" w:color="auto"/>
        <w:bottom w:val="none" w:sz="0" w:space="0" w:color="auto"/>
        <w:right w:val="none" w:sz="0" w:space="0" w:color="auto"/>
      </w:divBdr>
    </w:div>
    <w:div w:id="209316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esquisa.apps.tcu.gov.b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naenco.com.br/campanhas/campanha-pela-manutencao-do-ambiente-construido-sao-paulo/" TargetMode="External"/><Relationship Id="rId1" Type="http://schemas.openxmlformats.org/officeDocument/2006/relationships/hyperlink" Target="http://sinaenco.com.br/campanhas/tac-termo-de-ajuste-de-conduta-20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DB20B-7DD9-46EA-A492-B5007FB8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6529</Words>
  <Characters>37019</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
    </vt:vector>
  </TitlesOfParts>
  <Company>T.C.M.</Company>
  <LinksUpToDate>false</LinksUpToDate>
  <CharactersWithSpaces>43462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GM-CARLINHOS</dc:creator>
  <cp:lastModifiedBy>Carla Pinheiro Silva</cp:lastModifiedBy>
  <cp:revision>2</cp:revision>
  <cp:lastPrinted>2020-02-12T18:28:00Z</cp:lastPrinted>
  <dcterms:created xsi:type="dcterms:W3CDTF">2020-02-18T13:03:00Z</dcterms:created>
  <dcterms:modified xsi:type="dcterms:W3CDTF">2020-02-18T13:03:00Z</dcterms:modified>
</cp:coreProperties>
</file>