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Acórdão</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hyperlink r:id="rId6" w:anchor="/documento/acordao-completo/*/NUMACORDAO%3A1964%20ANOACORDAO%3A2012%20COLEGIADO%3A%22Segunda%20C%C3%A2mara%22/DTRELEVANCIA%20desc%2C%20NUMACORDAOINT%20desc/0/%20" w:tgtFrame="_blank" w:history="1">
        <w:r w:rsidRPr="00874ACB">
          <w:rPr>
            <w:rFonts w:ascii="Segoe UI" w:eastAsia="Times New Roman" w:hAnsi="Segoe UI" w:cs="Segoe UI"/>
            <w:color w:val="1B6DCB"/>
            <w:sz w:val="27"/>
            <w:szCs w:val="27"/>
            <w:lang w:eastAsia="pt-BR"/>
          </w:rPr>
          <w:t>Acórdão 1964/2012-Segunda Câmara</w:t>
        </w:r>
      </w:hyperlink>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Data da sessão</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27/03/2012</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Relator</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AUGUSTO NARDES</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Área</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Licitação</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Tema</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Inexigibilidade de licitação</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Subtema</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Serviço técnico especializado</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Outros indexadores</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 xml:space="preserve">Competitividade, Notória especialização, Inviabilidade, Singularidade do </w:t>
      </w:r>
      <w:proofErr w:type="gramStart"/>
      <w:r w:rsidRPr="00874ACB">
        <w:rPr>
          <w:rFonts w:ascii="Segoe UI" w:eastAsia="Times New Roman" w:hAnsi="Segoe UI" w:cs="Segoe UI"/>
          <w:color w:val="4D4C4C"/>
          <w:sz w:val="27"/>
          <w:szCs w:val="27"/>
          <w:lang w:eastAsia="pt-BR"/>
        </w:rPr>
        <w:t>objeto</w:t>
      </w:r>
      <w:proofErr w:type="gramEnd"/>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Tipo do processo</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PRESTAÇÃO DE CONTAS</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Enunciado</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proofErr w:type="gramStart"/>
      <w:r w:rsidRPr="00874ACB">
        <w:rPr>
          <w:rFonts w:ascii="Segoe UI" w:eastAsia="Times New Roman" w:hAnsi="Segoe UI" w:cs="Segoe UI"/>
          <w:color w:val="4D4C4C"/>
          <w:sz w:val="27"/>
          <w:szCs w:val="27"/>
          <w:lang w:eastAsia="pt-BR"/>
        </w:rPr>
        <w:t>Deve</w:t>
      </w:r>
      <w:proofErr w:type="gramEnd"/>
      <w:r w:rsidRPr="00874ACB">
        <w:rPr>
          <w:rFonts w:ascii="Segoe UI" w:eastAsia="Times New Roman" w:hAnsi="Segoe UI" w:cs="Segoe UI"/>
          <w:color w:val="4D4C4C"/>
          <w:sz w:val="27"/>
          <w:szCs w:val="27"/>
          <w:lang w:eastAsia="pt-BR"/>
        </w:rPr>
        <w:t xml:space="preserve"> ser </w:t>
      </w:r>
      <w:bookmarkStart w:id="0" w:name="_GoBack"/>
      <w:r w:rsidRPr="00874ACB">
        <w:rPr>
          <w:rFonts w:ascii="Segoe UI" w:eastAsia="Times New Roman" w:hAnsi="Segoe UI" w:cs="Segoe UI"/>
          <w:color w:val="4D4C4C"/>
          <w:sz w:val="27"/>
          <w:szCs w:val="27"/>
          <w:lang w:eastAsia="pt-BR"/>
        </w:rPr>
        <w:t xml:space="preserve">explicitado nos processos de contratação por inexigibilidade de licitação, os requisitos da singularidade </w:t>
      </w:r>
      <w:bookmarkEnd w:id="0"/>
      <w:r w:rsidRPr="00874ACB">
        <w:rPr>
          <w:rFonts w:ascii="Segoe UI" w:eastAsia="Times New Roman" w:hAnsi="Segoe UI" w:cs="Segoe UI"/>
          <w:color w:val="4D4C4C"/>
          <w:sz w:val="27"/>
          <w:szCs w:val="27"/>
          <w:lang w:eastAsia="pt-BR"/>
        </w:rPr>
        <w:t>do objeto, da notória especialização do contratado e da inviabilidade fática e jurídica de competição.</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Excerto</w:t>
      </w:r>
    </w:p>
    <w:p w:rsidR="00874ACB" w:rsidRPr="00874ACB" w:rsidRDefault="00874ACB" w:rsidP="00874ACB">
      <w:pPr>
        <w:shd w:val="clear" w:color="auto" w:fill="FFFFFF"/>
        <w:spacing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b/>
          <w:bCs/>
          <w:color w:val="4D4C4C"/>
          <w:sz w:val="27"/>
          <w:szCs w:val="27"/>
          <w:lang w:eastAsia="pt-BR"/>
        </w:rPr>
        <w:t>Voto:</w:t>
      </w:r>
    </w:p>
    <w:p w:rsidR="00874ACB" w:rsidRPr="00874ACB" w:rsidRDefault="00874ACB" w:rsidP="00874ACB">
      <w:pPr>
        <w:shd w:val="clear" w:color="auto" w:fill="FFFFFF"/>
        <w:spacing w:before="240"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9. Primeiramente, quanto à questão da contratação direta dos escritórios de advocacia, observo que a jurisprudência do TCU é pacífica no sentido de que a Petrobras e suas controladas devem observar os ditames da Lei nº 8.666/1993 e do Decreto nº 2.745/1998. Nesse sentido, reitero o entendimento expresso no relatório precedente, de que a regra para contratação de serviços advocatícios é a licitação, e a inexigibilidade, exceção, que deve ser precedida da comprovação da inviabilidade fática ou jurídica de competição, da singularidade do objeto e da notoriedade do contratado.</w:t>
      </w:r>
    </w:p>
    <w:p w:rsidR="00874ACB" w:rsidRPr="00874ACB" w:rsidRDefault="00874ACB" w:rsidP="00874ACB">
      <w:pPr>
        <w:shd w:val="clear" w:color="auto" w:fill="FFFFFF"/>
        <w:spacing w:before="240"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 xml:space="preserve">10. Neste caso concreto, a unidade técnica e o Ministério Público junto a esta Corte concluíram que tais requisitos, principalmente, os da singularidade do objeto e da notória especialização do contratado foram parcialmente demonstrados, uma vez que os escritórios </w:t>
      </w:r>
      <w:r w:rsidRPr="00874ACB">
        <w:rPr>
          <w:rFonts w:ascii="Segoe UI" w:eastAsia="Times New Roman" w:hAnsi="Segoe UI" w:cs="Segoe UI"/>
          <w:color w:val="4D4C4C"/>
          <w:sz w:val="27"/>
          <w:szCs w:val="27"/>
          <w:lang w:eastAsia="pt-BR"/>
        </w:rPr>
        <w:lastRenderedPageBreak/>
        <w:t xml:space="preserve">contratados atuaram em questões complexas, tais como: representações junto ao CADE em ações concorrenciais; defesas em Ações Civis Públicas em relação </w:t>
      </w:r>
      <w:proofErr w:type="gramStart"/>
      <w:r w:rsidRPr="00874ACB">
        <w:rPr>
          <w:rFonts w:ascii="Segoe UI" w:eastAsia="Times New Roman" w:hAnsi="Segoe UI" w:cs="Segoe UI"/>
          <w:color w:val="4D4C4C"/>
          <w:sz w:val="27"/>
          <w:szCs w:val="27"/>
          <w:lang w:eastAsia="pt-BR"/>
        </w:rPr>
        <w:t>a</w:t>
      </w:r>
      <w:proofErr w:type="gramEnd"/>
      <w:r w:rsidRPr="00874ACB">
        <w:rPr>
          <w:rFonts w:ascii="Segoe UI" w:eastAsia="Times New Roman" w:hAnsi="Segoe UI" w:cs="Segoe UI"/>
          <w:color w:val="4D4C4C"/>
          <w:sz w:val="27"/>
          <w:szCs w:val="27"/>
          <w:lang w:eastAsia="pt-BR"/>
        </w:rPr>
        <w:t xml:space="preserve"> matéria ambiental; questões jurídicas envolvendo aspectos negociais e operacionais do setor de Petróleo e Gás Natural; pareceres sobre aquisições e fusões envolvendo recursos vultosos; e questões societárias afetas à legislação regulatória de outros países, entre outras.</w:t>
      </w:r>
    </w:p>
    <w:p w:rsidR="00874ACB" w:rsidRPr="00874ACB" w:rsidRDefault="00874ACB" w:rsidP="00874ACB">
      <w:pPr>
        <w:shd w:val="clear" w:color="auto" w:fill="FFFFFF"/>
        <w:spacing w:before="240"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 xml:space="preserve">11. Apesar de compreender que tais questões são complexas, entendo que não são suficientes para caracterizar os requisitos necessários para a contratação por inexigibilidade de licitação de um escritório de advocacia, visto que não </w:t>
      </w:r>
      <w:proofErr w:type="gramStart"/>
      <w:r w:rsidRPr="00874ACB">
        <w:rPr>
          <w:rFonts w:ascii="Segoe UI" w:eastAsia="Times New Roman" w:hAnsi="Segoe UI" w:cs="Segoe UI"/>
          <w:color w:val="4D4C4C"/>
          <w:sz w:val="27"/>
          <w:szCs w:val="27"/>
          <w:lang w:eastAsia="pt-BR"/>
        </w:rPr>
        <w:t>ficou</w:t>
      </w:r>
      <w:proofErr w:type="gramEnd"/>
      <w:r w:rsidRPr="00874ACB">
        <w:rPr>
          <w:rFonts w:ascii="Segoe UI" w:eastAsia="Times New Roman" w:hAnsi="Segoe UI" w:cs="Segoe UI"/>
          <w:color w:val="4D4C4C"/>
          <w:sz w:val="27"/>
          <w:szCs w:val="27"/>
          <w:lang w:eastAsia="pt-BR"/>
        </w:rPr>
        <w:t xml:space="preserve"> demonstrado que os escritórios contratados eram os únicos que teriam condições de resolver satisfatoriamente essas questões apontadas pelos responsáveis da </w:t>
      </w:r>
      <w:proofErr w:type="spellStart"/>
      <w:r w:rsidRPr="00874ACB">
        <w:rPr>
          <w:rFonts w:ascii="Segoe UI" w:eastAsia="Times New Roman" w:hAnsi="Segoe UI" w:cs="Segoe UI"/>
          <w:color w:val="4D4C4C"/>
          <w:sz w:val="27"/>
          <w:szCs w:val="27"/>
          <w:lang w:eastAsia="pt-BR"/>
        </w:rPr>
        <w:t>Gaspetro</w:t>
      </w:r>
      <w:proofErr w:type="spellEnd"/>
      <w:r w:rsidRPr="00874ACB">
        <w:rPr>
          <w:rFonts w:ascii="Segoe UI" w:eastAsia="Times New Roman" w:hAnsi="Segoe UI" w:cs="Segoe UI"/>
          <w:color w:val="4D4C4C"/>
          <w:sz w:val="27"/>
          <w:szCs w:val="27"/>
          <w:lang w:eastAsia="pt-BR"/>
        </w:rPr>
        <w:t>. Nessa linha outros julgados do Tribunal, sendo exemplo o Acórdão 2.955/2010 - TCU - Plenário.</w:t>
      </w:r>
    </w:p>
    <w:p w:rsidR="00874ACB" w:rsidRPr="00874ACB" w:rsidRDefault="00874ACB" w:rsidP="00874ACB">
      <w:pPr>
        <w:shd w:val="clear" w:color="auto" w:fill="FFFFFF"/>
        <w:spacing w:before="240"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12. Em adição, tais requisitos para a contratação direta deveriam ter sido demonstrados anteriormente ao certame licitatório ou em um curto prazo após a realização deste. Inclusive, consta do item 2.5 do Decreto nº 2.475/1998, expressamente:</w:t>
      </w:r>
    </w:p>
    <w:p w:rsidR="00874ACB" w:rsidRPr="00874ACB" w:rsidRDefault="00874ACB" w:rsidP="00874ACB">
      <w:pPr>
        <w:shd w:val="clear" w:color="auto" w:fill="FFFFFF"/>
        <w:spacing w:before="240"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i/>
          <w:iCs/>
          <w:color w:val="4D4C4C"/>
          <w:sz w:val="27"/>
          <w:szCs w:val="27"/>
          <w:lang w:eastAsia="pt-BR"/>
        </w:rPr>
        <w:t>“2.5 Os casos de dispensa (item 2.1) e de inexigibilidade (item 2.3) de licitação deverão ser comunicados pelo responsável da unidade competente à autoridade superior, dentro dos cinco dias seguintes ao ato respectivo, devendo constar da documentação a caracterização da situação justificadora da contratação direta, conforme o caso, a razão da escolha do fornecedor ou prestador de serviço e a justificativa do preço.”</w:t>
      </w:r>
      <w:r w:rsidRPr="00874ACB">
        <w:rPr>
          <w:rFonts w:ascii="Segoe UI" w:eastAsia="Times New Roman" w:hAnsi="Segoe UI" w:cs="Segoe UI"/>
          <w:color w:val="4D4C4C"/>
          <w:sz w:val="27"/>
          <w:szCs w:val="27"/>
          <w:lang w:eastAsia="pt-BR"/>
        </w:rPr>
        <w:t> (Grifei</w:t>
      </w:r>
      <w:proofErr w:type="gramStart"/>
      <w:r w:rsidRPr="00874ACB">
        <w:rPr>
          <w:rFonts w:ascii="Segoe UI" w:eastAsia="Times New Roman" w:hAnsi="Segoe UI" w:cs="Segoe UI"/>
          <w:color w:val="4D4C4C"/>
          <w:sz w:val="27"/>
          <w:szCs w:val="27"/>
          <w:lang w:eastAsia="pt-BR"/>
        </w:rPr>
        <w:t>)</w:t>
      </w:r>
      <w:proofErr w:type="gramEnd"/>
    </w:p>
    <w:p w:rsidR="00874ACB" w:rsidRPr="00874ACB" w:rsidRDefault="00874ACB" w:rsidP="00874ACB">
      <w:pPr>
        <w:shd w:val="clear" w:color="auto" w:fill="FFFFFF"/>
        <w:spacing w:before="240"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 xml:space="preserve">13. Assim, compreendo que os responsáveis não caracterizaram devidamente os requisitos para contratação direta por inexigibilidade de licitação de escritórios de advocacia, por conseguinte, não devem ser acatadas as razões de justificativas apresentadas por esses gestores quanto </w:t>
      </w:r>
      <w:proofErr w:type="gramStart"/>
      <w:r w:rsidRPr="00874ACB">
        <w:rPr>
          <w:rFonts w:ascii="Segoe UI" w:eastAsia="Times New Roman" w:hAnsi="Segoe UI" w:cs="Segoe UI"/>
          <w:color w:val="4D4C4C"/>
          <w:sz w:val="27"/>
          <w:szCs w:val="27"/>
          <w:lang w:eastAsia="pt-BR"/>
        </w:rPr>
        <w:t>à</w:t>
      </w:r>
      <w:proofErr w:type="gramEnd"/>
      <w:r w:rsidRPr="00874ACB">
        <w:rPr>
          <w:rFonts w:ascii="Segoe UI" w:eastAsia="Times New Roman" w:hAnsi="Segoe UI" w:cs="Segoe UI"/>
          <w:color w:val="4D4C4C"/>
          <w:sz w:val="27"/>
          <w:szCs w:val="27"/>
          <w:lang w:eastAsia="pt-BR"/>
        </w:rPr>
        <w:t xml:space="preserve"> presente impropriedade.</w:t>
      </w:r>
    </w:p>
    <w:p w:rsidR="00874ACB" w:rsidRPr="00874ACB" w:rsidRDefault="00874ACB" w:rsidP="00874ACB">
      <w:pPr>
        <w:shd w:val="clear" w:color="auto" w:fill="FFFFFF"/>
        <w:spacing w:before="240"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b/>
          <w:bCs/>
          <w:color w:val="4D4C4C"/>
          <w:sz w:val="27"/>
          <w:szCs w:val="27"/>
          <w:lang w:eastAsia="pt-BR"/>
        </w:rPr>
        <w:t>Acórdão:</w:t>
      </w:r>
    </w:p>
    <w:p w:rsidR="00874ACB" w:rsidRPr="00874ACB" w:rsidRDefault="00874ACB" w:rsidP="00874ACB">
      <w:pPr>
        <w:shd w:val="clear" w:color="auto" w:fill="FFFFFF"/>
        <w:spacing w:before="240" w:after="0"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 xml:space="preserve">9.4.3. </w:t>
      </w:r>
      <w:proofErr w:type="gramStart"/>
      <w:r w:rsidRPr="00874ACB">
        <w:rPr>
          <w:rFonts w:ascii="Segoe UI" w:eastAsia="Times New Roman" w:hAnsi="Segoe UI" w:cs="Segoe UI"/>
          <w:color w:val="4D4C4C"/>
          <w:sz w:val="27"/>
          <w:szCs w:val="27"/>
          <w:lang w:eastAsia="pt-BR"/>
        </w:rPr>
        <w:t>explicite</w:t>
      </w:r>
      <w:proofErr w:type="gramEnd"/>
      <w:r w:rsidRPr="00874ACB">
        <w:rPr>
          <w:rFonts w:ascii="Segoe UI" w:eastAsia="Times New Roman" w:hAnsi="Segoe UI" w:cs="Segoe UI"/>
          <w:color w:val="4D4C4C"/>
          <w:sz w:val="27"/>
          <w:szCs w:val="27"/>
          <w:lang w:eastAsia="pt-BR"/>
        </w:rPr>
        <w:t xml:space="preserve">, de forma adequada, no âmbito de seus processos de contratação por inexigibilidade de licitação, os requisitos da </w:t>
      </w:r>
      <w:r w:rsidRPr="00874ACB">
        <w:rPr>
          <w:rFonts w:ascii="Segoe UI" w:eastAsia="Times New Roman" w:hAnsi="Segoe UI" w:cs="Segoe UI"/>
          <w:color w:val="4D4C4C"/>
          <w:sz w:val="27"/>
          <w:szCs w:val="27"/>
          <w:lang w:eastAsia="pt-BR"/>
        </w:rPr>
        <w:lastRenderedPageBreak/>
        <w:t>singularidade do objeto, da notória especialização do contratado e da inviabilidade fática e jurídica de competição, em obediência ao item 2.5 do Decreto nº 2.745/98 e aos artigos 25, II, e 26, parágrafo único, da Lei nº 8.666/93;</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Referência legal</w:t>
      </w:r>
    </w:p>
    <w:p w:rsidR="00874ACB" w:rsidRPr="00874ACB" w:rsidRDefault="00874ACB" w:rsidP="00874ACB">
      <w:pPr>
        <w:numPr>
          <w:ilvl w:val="0"/>
          <w:numId w:val="1"/>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Lei Ordinária 8.666/1993 Congresso Nacional</w:t>
      </w:r>
    </w:p>
    <w:p w:rsidR="00874ACB" w:rsidRPr="00874ACB" w:rsidRDefault="00874ACB" w:rsidP="00874ACB">
      <w:pPr>
        <w:numPr>
          <w:ilvl w:val="0"/>
          <w:numId w:val="1"/>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r w:rsidRPr="00874ACB">
        <w:rPr>
          <w:rFonts w:ascii="Segoe UI" w:eastAsia="Times New Roman" w:hAnsi="Segoe UI" w:cs="Segoe UI"/>
          <w:color w:val="4D4C4C"/>
          <w:sz w:val="27"/>
          <w:szCs w:val="27"/>
          <w:lang w:eastAsia="pt-BR"/>
        </w:rPr>
        <w:t>Decreto 2.745/1998 Presidente da República</w:t>
      </w:r>
    </w:p>
    <w:p w:rsidR="00874ACB" w:rsidRPr="00874ACB" w:rsidRDefault="00874ACB" w:rsidP="00874ACB">
      <w:pPr>
        <w:shd w:val="clear" w:color="auto" w:fill="FFFFFF"/>
        <w:spacing w:after="0" w:line="240" w:lineRule="auto"/>
        <w:outlineLvl w:val="2"/>
        <w:rPr>
          <w:rFonts w:ascii="Segoe UI" w:eastAsia="Times New Roman" w:hAnsi="Segoe UI" w:cs="Segoe UI"/>
          <w:b/>
          <w:bCs/>
          <w:color w:val="2A4070"/>
          <w:sz w:val="27"/>
          <w:szCs w:val="27"/>
          <w:lang w:eastAsia="pt-BR"/>
        </w:rPr>
      </w:pPr>
      <w:r w:rsidRPr="00874ACB">
        <w:rPr>
          <w:rFonts w:ascii="Segoe UI" w:eastAsia="Times New Roman" w:hAnsi="Segoe UI" w:cs="Segoe UI"/>
          <w:b/>
          <w:bCs/>
          <w:color w:val="2A4070"/>
          <w:sz w:val="27"/>
          <w:szCs w:val="27"/>
          <w:lang w:eastAsia="pt-BR"/>
        </w:rPr>
        <w:t>Enunciados relacionados</w:t>
      </w:r>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7" w:anchor="/documento/jurisprudencia-selecionada/*/KEY%3AJURISPRUDENCIA-SELECIONADA-66984/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O conceito de singularidade de que trata o art. 25, inciso II, da Lei 8.666/1993 não está vinculado à ideia de unicidade, mas de complexidade e especificidade. Dessa forma, a natureza singular não deve ser compreendida como ausência de pluralidade de sujeitos em condições de executar o objeto, mas sim como uma situação diferenciada e sofisticada a exigir acentuado nível de segurança e </w:t>
        </w:r>
        <w:proofErr w:type="gramStart"/>
        <w:r w:rsidRPr="00874ACB">
          <w:rPr>
            <w:rFonts w:ascii="Segoe UI" w:eastAsia="Times New Roman" w:hAnsi="Segoe UI" w:cs="Segoe UI"/>
            <w:color w:val="1B6DCB"/>
            <w:sz w:val="27"/>
            <w:szCs w:val="27"/>
            <w:lang w:eastAsia="pt-BR"/>
          </w:rPr>
          <w:t>cuidado.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8" w:anchor="/documento/jurisprudencia-selecionada/*/KEY%3AJURISPRUDENCIA-SELECIONADA-49001/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A contratação direta por inexigibilidade de serviços técnicos especializados não se subsome à hipótese do art. 25, inciso II, da Lei 8.666/1993, uma vez que as situações elencadas nos incisos desse artigo são exemplificativas. Na presença de situações outras em que o atendimento das necessidades da Administração implique a inviabilidade de competição, admite-se a contratação direta por inexigibilidade com fulcro no art. 25, </w:t>
        </w:r>
        <w:proofErr w:type="gramStart"/>
        <w:r w:rsidRPr="00874ACB">
          <w:rPr>
            <w:rFonts w:ascii="Segoe UI" w:eastAsia="Times New Roman" w:hAnsi="Segoe UI" w:cs="Segoe UI"/>
            <w:i/>
            <w:iCs/>
            <w:color w:val="1B6DCB"/>
            <w:sz w:val="27"/>
            <w:szCs w:val="27"/>
            <w:lang w:eastAsia="pt-BR"/>
          </w:rPr>
          <w:t>caput</w:t>
        </w:r>
        <w:r w:rsidRPr="00874ACB">
          <w:rPr>
            <w:rFonts w:ascii="Segoe UI" w:eastAsia="Times New Roman" w:hAnsi="Segoe UI" w:cs="Segoe UI"/>
            <w:color w:val="1B6DCB"/>
            <w:sz w:val="27"/>
            <w:szCs w:val="27"/>
            <w:lang w:eastAsia="pt-BR"/>
          </w:rPr>
          <w:t>.</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9" w:anchor="/documento/jurisprudencia-selecionada/*/KEY%3AJURISPRUDENCIA-SELECIONADA-16325/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Nas contratações diretas por inexigibilidade de licitação, o conceito de singularidade não pode ser confundido com a ideia de unicidade, exclusividade, ineditismo ou raridade. O fato de o objeto poder ser executado por outros profissionais ou empresas não impede a contratação direta amparada no art. 25, inciso II, da Lei 8.666/1993. A inexigibilidade, amparada nesse dispositivo legal, decorre da impossibilidade de se fixar critérios objetivos de </w:t>
        </w:r>
        <w:proofErr w:type="gramStart"/>
        <w:r w:rsidRPr="00874ACB">
          <w:rPr>
            <w:rFonts w:ascii="Segoe UI" w:eastAsia="Times New Roman" w:hAnsi="Segoe UI" w:cs="Segoe UI"/>
            <w:color w:val="1B6DCB"/>
            <w:sz w:val="27"/>
            <w:szCs w:val="27"/>
            <w:lang w:eastAsia="pt-BR"/>
          </w:rPr>
          <w:t>julgamento.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0" w:anchor="/documento/jurisprudencia-selecionada/*/KEY%3AJURISPRUDENCIA-SELECIONADA-17355/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É indevida a contratação direta, mediante inexigibilidade de licitação, destinada à organização e promoção de licitação na modalidade concurso para escolha de projeto de arquitetura, por estarem ausentes os pressupostos da singularidade, diante de atividade cuja natureza é eminentemente administrativa, e da </w:t>
        </w:r>
        <w:r w:rsidRPr="00874ACB">
          <w:rPr>
            <w:rFonts w:ascii="Segoe UI" w:eastAsia="Times New Roman" w:hAnsi="Segoe UI" w:cs="Segoe UI"/>
            <w:color w:val="1B6DCB"/>
            <w:sz w:val="27"/>
            <w:szCs w:val="27"/>
            <w:lang w:eastAsia="pt-BR"/>
          </w:rPr>
          <w:lastRenderedPageBreak/>
          <w:t xml:space="preserve">inviabilidade de competição, em face da pluralidade de entidades capazes de realizá-la de maneira </w:t>
        </w:r>
        <w:proofErr w:type="gramStart"/>
        <w:r w:rsidRPr="00874ACB">
          <w:rPr>
            <w:rFonts w:ascii="Segoe UI" w:eastAsia="Times New Roman" w:hAnsi="Segoe UI" w:cs="Segoe UI"/>
            <w:color w:val="1B6DCB"/>
            <w:sz w:val="27"/>
            <w:szCs w:val="27"/>
            <w:lang w:eastAsia="pt-BR"/>
          </w:rPr>
          <w:t>satisfatória.</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1" w:anchor="/documento/jurisprudencia-selecionada/*/KEY%3AJURISPRUDENCIA-SELECIONADA-13561/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O conceito de singularidade de que trata o art. 25, inciso II, da Lei 8.666/1993 não está vinculado à ideia de unicidade, mas de complexidade e especificidade. Dessa forma, a natureza singular não deve ser compreendida como ausência de pluralidade de sujeitos em condições de executar o objeto, mas sim como uma situação diferenciada e sofisticada a exigir acentuado nível de segurança e </w:t>
        </w:r>
        <w:proofErr w:type="gramStart"/>
        <w:r w:rsidRPr="00874ACB">
          <w:rPr>
            <w:rFonts w:ascii="Segoe UI" w:eastAsia="Times New Roman" w:hAnsi="Segoe UI" w:cs="Segoe UI"/>
            <w:color w:val="1B6DCB"/>
            <w:sz w:val="27"/>
            <w:szCs w:val="27"/>
            <w:lang w:eastAsia="pt-BR"/>
          </w:rPr>
          <w:t>cuidado.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2" w:anchor="/documento/jurisprudencia-selecionada/*/KEY%3AJURISPRUDENCIA-SELECIONADA-17147/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O conceito de singularidade de que trata o art. 25, inciso II, da Lei 8.666/1993 não está vinculado à ideia de unicidade, mas de complexidade e especificidade. Dessa forma, a natureza singular não deve ser compreendida como ausência de pluralidade de sujeitos em condições de executar o objeto, mas sim como uma situação diferenciada e sofisticada a exigir acentuado nível de segurança e </w:t>
        </w:r>
        <w:proofErr w:type="gramStart"/>
        <w:r w:rsidRPr="00874ACB">
          <w:rPr>
            <w:rFonts w:ascii="Segoe UI" w:eastAsia="Times New Roman" w:hAnsi="Segoe UI" w:cs="Segoe UI"/>
            <w:color w:val="1B6DCB"/>
            <w:sz w:val="27"/>
            <w:szCs w:val="27"/>
            <w:lang w:eastAsia="pt-BR"/>
          </w:rPr>
          <w:t>cuidado.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3" w:anchor="/documento/jurisprudencia-selecionada/*/KEY%3AJURISPRUDENCIA-SELECIONADA-21369/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Serviços de natureza contínua, cuja contratação pode ser prorrogada por até sessenta meses (art. 57, inciso II, da Lei 8.666/1993</w:t>
        </w:r>
        <w:proofErr w:type="gramStart"/>
        <w:r w:rsidRPr="00874ACB">
          <w:rPr>
            <w:rFonts w:ascii="Segoe UI" w:eastAsia="Times New Roman" w:hAnsi="Segoe UI" w:cs="Segoe UI"/>
            <w:color w:val="1B6DCB"/>
            <w:sz w:val="27"/>
            <w:szCs w:val="27"/>
            <w:lang w:eastAsia="pt-BR"/>
          </w:rPr>
          <w:t>) ,</w:t>
        </w:r>
        <w:proofErr w:type="gramEnd"/>
        <w:r w:rsidRPr="00874ACB">
          <w:rPr>
            <w:rFonts w:ascii="Segoe UI" w:eastAsia="Times New Roman" w:hAnsi="Segoe UI" w:cs="Segoe UI"/>
            <w:color w:val="1B6DCB"/>
            <w:sz w:val="27"/>
            <w:szCs w:val="27"/>
            <w:lang w:eastAsia="pt-BR"/>
          </w:rPr>
          <w:t xml:space="preserve"> não podem ser tidos como sendo de natureza singular. Para fins de contratação de serviço técnico especializado mediante inexigibilidade de licitação (art. 25, inciso II, da Lei 8.666/1993</w:t>
        </w:r>
        <w:proofErr w:type="gramStart"/>
        <w:r w:rsidRPr="00874ACB">
          <w:rPr>
            <w:rFonts w:ascii="Segoe UI" w:eastAsia="Times New Roman" w:hAnsi="Segoe UI" w:cs="Segoe UI"/>
            <w:color w:val="1B6DCB"/>
            <w:sz w:val="27"/>
            <w:szCs w:val="27"/>
            <w:lang w:eastAsia="pt-BR"/>
          </w:rPr>
          <w:t>) ,</w:t>
        </w:r>
        <w:proofErr w:type="gramEnd"/>
        <w:r w:rsidRPr="00874ACB">
          <w:rPr>
            <w:rFonts w:ascii="Segoe UI" w:eastAsia="Times New Roman" w:hAnsi="Segoe UI" w:cs="Segoe UI"/>
            <w:color w:val="1B6DCB"/>
            <w:sz w:val="27"/>
            <w:szCs w:val="27"/>
            <w:lang w:eastAsia="pt-BR"/>
          </w:rPr>
          <w:t xml:space="preserve"> serviço singular deve ser compreendido como aquele serviço específico, pontual, individualizado, perfeitamente delineado em sua extensão, preciso e objetivo em sua definição, diferenciador em relação a outros do mesmo gênero, limitado no tempo.</w:t>
        </w:r>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4" w:anchor="/documento/jurisprudencia-selecionada/*/KEY%3AJURISPRUDENCIA-SELECIONADA-22971/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 contratação direta por inexigibilidade de licitação, com base no art. 25, inciso II, da Lei 8.666/1993, comporta a presença simultânea de três requisitos: constar no rol de serviços técnicos especializados mencionados no art. 13 da Lei 8.666/1993, possuir o serviço natureza singular e ter o contratado notória especialização. O ato praticado com a ausência de qualquer um dos três requisitos importa na irregularidade da </w:t>
        </w:r>
        <w:proofErr w:type="gramStart"/>
        <w:r w:rsidRPr="00874ACB">
          <w:rPr>
            <w:rFonts w:ascii="Segoe UI" w:eastAsia="Times New Roman" w:hAnsi="Segoe UI" w:cs="Segoe UI"/>
            <w:color w:val="1B6DCB"/>
            <w:sz w:val="27"/>
            <w:szCs w:val="27"/>
            <w:lang w:eastAsia="pt-BR"/>
          </w:rPr>
          <w:t>contratação.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5" w:anchor="/documento/jurisprudencia-selecionada/*/KEY%3AJURISPRUDENCIA-SELECIONADA-18196/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 inexigibilidade de licitação para a contratação de serviços técnicos com pessoas físicas ou jurídicas de notória especialização somente é cabível quando se tratar de serviço de natureza singular, capaz de exigir, na seleção do executor de </w:t>
        </w:r>
        <w:r w:rsidRPr="00874ACB">
          <w:rPr>
            <w:rFonts w:ascii="Segoe UI" w:eastAsia="Times New Roman" w:hAnsi="Segoe UI" w:cs="Segoe UI"/>
            <w:color w:val="1B6DCB"/>
            <w:sz w:val="27"/>
            <w:szCs w:val="27"/>
            <w:lang w:eastAsia="pt-BR"/>
          </w:rPr>
          <w:lastRenderedPageBreak/>
          <w:t xml:space="preserve">confiança, grau de subjetividade insuscetível de ser medido pelos critérios </w:t>
        </w:r>
        <w:proofErr w:type="gramStart"/>
        <w:r w:rsidRPr="00874ACB">
          <w:rPr>
            <w:rFonts w:ascii="Segoe UI" w:eastAsia="Times New Roman" w:hAnsi="Segoe UI" w:cs="Segoe UI"/>
            <w:color w:val="1B6DCB"/>
            <w:sz w:val="27"/>
            <w:szCs w:val="27"/>
            <w:lang w:eastAsia="pt-BR"/>
          </w:rPr>
          <w:t>objetivos.</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6" w:anchor="/documento/jurisprudencia-selecionada/*/KEY%3AJURISPRUDENCIA-SELECIONADA-18217/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Na contratação fundamentada na inexigibilidade de licitação prevista no inciso II do art. 25 da Lei 8.666/1993 devem restar comprovadas a inviabilidade da competição, a natureza singular dos objetos contratados e a compatibilidade dos preços contratados com os praticados no mercado, sendo que a simples apresentação de currículos não se presta, por si só, a demonstrar a notória especialização do </w:t>
        </w:r>
        <w:proofErr w:type="gramStart"/>
        <w:r w:rsidRPr="00874ACB">
          <w:rPr>
            <w:rFonts w:ascii="Segoe UI" w:eastAsia="Times New Roman" w:hAnsi="Segoe UI" w:cs="Segoe UI"/>
            <w:color w:val="1B6DCB"/>
            <w:sz w:val="27"/>
            <w:szCs w:val="27"/>
            <w:lang w:eastAsia="pt-BR"/>
          </w:rPr>
          <w:t>contratado.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7" w:anchor="/documento/jurisprudencia-selecionada/*/KEY%3AJURISPRUDENCIA-SELECIONADA-18218/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Somente deve ser contratado fornecimento de bens e serviços diretamente, por inexigibilidade de licitação, quando restarem comprovados os requisitos da inviabilidade de competição, da singularidade do objeto e da notória </w:t>
        </w:r>
        <w:proofErr w:type="gramStart"/>
        <w:r w:rsidRPr="00874ACB">
          <w:rPr>
            <w:rFonts w:ascii="Segoe UI" w:eastAsia="Times New Roman" w:hAnsi="Segoe UI" w:cs="Segoe UI"/>
            <w:color w:val="1B6DCB"/>
            <w:sz w:val="27"/>
            <w:szCs w:val="27"/>
            <w:lang w:eastAsia="pt-BR"/>
          </w:rPr>
          <w:t>especialização.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18" w:anchor="/documento/jurisprudencia-selecionada/*/KEY%3AJURISPRUDENCIA-SELECIONADA-18265/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SÚMULA TCU 39: A inexigibilidade de licitação para a contratação de serviços técnicos com pessoas físicas ou jurídicas de notória especialização somente é cabível quando se tratar de serviço de natureza singular, capaz de exigir, na seleção do executor de confiança, grau de subjetividade insuscetível de ser medido pelos critérios objetivos de qualificação inerentes ao processo de licitação, nos termos do art. 25, inciso II, da Lei 8.666/</w:t>
        </w:r>
        <w:proofErr w:type="gramStart"/>
        <w:r w:rsidRPr="00874ACB">
          <w:rPr>
            <w:rFonts w:ascii="Segoe UI" w:eastAsia="Times New Roman" w:hAnsi="Segoe UI" w:cs="Segoe UI"/>
            <w:color w:val="1B6DCB"/>
            <w:sz w:val="27"/>
            <w:szCs w:val="27"/>
            <w:lang w:eastAsia="pt-BR"/>
          </w:rPr>
          <w:t>1993.</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6DCB"/>
          <w:sz w:val="24"/>
          <w:szCs w:val="24"/>
          <w:lang w:eastAsia="pt-BR"/>
        </w:rPr>
      </w:pPr>
      <w:r w:rsidRPr="00874ACB">
        <w:rPr>
          <w:rFonts w:ascii="Segoe UI" w:eastAsia="Times New Roman" w:hAnsi="Segoe UI" w:cs="Segoe UI"/>
          <w:color w:val="4D4C4C"/>
          <w:sz w:val="27"/>
          <w:szCs w:val="27"/>
          <w:lang w:eastAsia="pt-BR"/>
        </w:rPr>
        <w:fldChar w:fldCharType="begin"/>
      </w:r>
      <w:r w:rsidRPr="00874ACB">
        <w:rPr>
          <w:rFonts w:ascii="Segoe UI" w:eastAsia="Times New Roman" w:hAnsi="Segoe UI" w:cs="Segoe UI"/>
          <w:color w:val="4D4C4C"/>
          <w:sz w:val="27"/>
          <w:szCs w:val="27"/>
          <w:lang w:eastAsia="pt-BR"/>
        </w:rPr>
        <w:instrText xml:space="preserve"> HYPERLINK "https://pesquisa.apps.tcu.gov.br/" \l "/documento/jurisprudencia-selecionada/*/KEY%3AJURISPRUDENCIA-SELECIONADA-48334/score%20desc%2C%20COLEGIADO%20asc%2C%20ANOACORDAO%20desc%2C%20NUMACORDAO%20desc/0/sinonimos%3Dtrue" \t "_blank" </w:instrText>
      </w:r>
      <w:r w:rsidRPr="00874ACB">
        <w:rPr>
          <w:rFonts w:ascii="Segoe UI" w:eastAsia="Times New Roman" w:hAnsi="Segoe UI" w:cs="Segoe UI"/>
          <w:color w:val="4D4C4C"/>
          <w:sz w:val="27"/>
          <w:szCs w:val="27"/>
          <w:lang w:eastAsia="pt-BR"/>
        </w:rPr>
        <w:fldChar w:fldCharType="separate"/>
      </w:r>
      <w:r w:rsidRPr="00874ACB">
        <w:rPr>
          <w:rFonts w:ascii="Segoe UI" w:eastAsia="Times New Roman" w:hAnsi="Segoe UI" w:cs="Segoe UI"/>
          <w:b/>
          <w:bCs/>
          <w:color w:val="1B6DCB"/>
          <w:sz w:val="27"/>
          <w:szCs w:val="27"/>
          <w:lang w:eastAsia="pt-BR"/>
        </w:rPr>
        <w:t>SÚMULA TCU 264:</w:t>
      </w:r>
      <w:r w:rsidRPr="00874ACB">
        <w:rPr>
          <w:rFonts w:ascii="Segoe UI" w:eastAsia="Times New Roman" w:hAnsi="Segoe UI" w:cs="Segoe UI"/>
          <w:color w:val="1B6DCB"/>
          <w:sz w:val="27"/>
          <w:szCs w:val="27"/>
          <w:lang w:eastAsia="pt-BR"/>
        </w:rPr>
        <w:t> Este número de Súmula está cancelado em razão de equívoco na atribuição de nova numeração para o enunciado da Súmula 39, alterado pelo Acórdão 1437/2001-Plenário, de 1/6/2011 (DOU de 3/6/2011, Seção 1, pg. 128</w:t>
      </w:r>
      <w:proofErr w:type="gramStart"/>
      <w:r w:rsidRPr="00874ACB">
        <w:rPr>
          <w:rFonts w:ascii="Segoe UI" w:eastAsia="Times New Roman" w:hAnsi="Segoe UI" w:cs="Segoe UI"/>
          <w:color w:val="1B6DCB"/>
          <w:sz w:val="27"/>
          <w:szCs w:val="27"/>
          <w:lang w:eastAsia="pt-BR"/>
        </w:rPr>
        <w:t>) .</w:t>
      </w:r>
      <w:proofErr w:type="gramEnd"/>
    </w:p>
    <w:p w:rsidR="00874ACB" w:rsidRPr="00874ACB" w:rsidRDefault="00874ACB" w:rsidP="00874ACB">
      <w:pPr>
        <w:shd w:val="clear" w:color="auto" w:fill="FFFFFF"/>
        <w:spacing w:beforeAutospacing="1" w:after="0" w:afterAutospacing="1" w:line="240" w:lineRule="auto"/>
        <w:ind w:left="720"/>
        <w:rPr>
          <w:rFonts w:ascii="Times New Roman" w:eastAsia="Times New Roman" w:hAnsi="Times New Roman" w:cs="Times New Roman"/>
          <w:color w:val="4D4C4C"/>
          <w:sz w:val="24"/>
          <w:szCs w:val="24"/>
          <w:lang w:eastAsia="pt-BR"/>
        </w:rPr>
      </w:pPr>
      <w:r w:rsidRPr="00874ACB">
        <w:rPr>
          <w:rFonts w:ascii="Segoe UI" w:eastAsia="Times New Roman" w:hAnsi="Segoe UI" w:cs="Segoe UI"/>
          <w:color w:val="4D4C4C"/>
          <w:sz w:val="27"/>
          <w:szCs w:val="27"/>
          <w:lang w:eastAsia="pt-BR"/>
        </w:rPr>
        <w:fldChar w:fldCharType="end"/>
      </w:r>
    </w:p>
    <w:p w:rsidR="00874ACB" w:rsidRPr="00874ACB" w:rsidRDefault="00874ACB" w:rsidP="00874ACB">
      <w:pPr>
        <w:shd w:val="clear" w:color="auto" w:fill="FFFFFF"/>
        <w:spacing w:before="240" w:after="0" w:line="240" w:lineRule="auto"/>
        <w:ind w:left="720"/>
        <w:rPr>
          <w:rFonts w:ascii="Segoe UI" w:eastAsia="Times New Roman" w:hAnsi="Segoe UI" w:cs="Segoe UI"/>
          <w:color w:val="4D4C4C"/>
          <w:sz w:val="27"/>
          <w:szCs w:val="27"/>
          <w:lang w:eastAsia="pt-BR"/>
        </w:rPr>
      </w:pPr>
      <w:hyperlink r:id="rId19" w:anchor="/documento/jurisprudencia-selecionada/*/KEY%3AJURISPRUDENCIA-SELECIONADA-48334/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Mais informações na Comunicação da Presidência realizada em Sessão Plenária de </w:t>
        </w:r>
        <w:proofErr w:type="gramStart"/>
        <w:r w:rsidRPr="00874ACB">
          <w:rPr>
            <w:rFonts w:ascii="Segoe UI" w:eastAsia="Times New Roman" w:hAnsi="Segoe UI" w:cs="Segoe UI"/>
            <w:color w:val="1B6DCB"/>
            <w:sz w:val="27"/>
            <w:szCs w:val="27"/>
            <w:lang w:eastAsia="pt-BR"/>
          </w:rPr>
          <w:t>1/2/2012.</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0" w:anchor="/documento/jurisprudencia-selecionada/*/KEY%3AJURISPRUDENCIA-SELECIONADA-34992/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É </w:t>
        </w:r>
        <w:proofErr w:type="spellStart"/>
        <w:r w:rsidRPr="00874ACB">
          <w:rPr>
            <w:rFonts w:ascii="Segoe UI" w:eastAsia="Times New Roman" w:hAnsi="Segoe UI" w:cs="Segoe UI"/>
            <w:color w:val="1B6DCB"/>
            <w:sz w:val="27"/>
            <w:szCs w:val="27"/>
            <w:lang w:eastAsia="pt-BR"/>
          </w:rPr>
          <w:t>iregular</w:t>
        </w:r>
        <w:proofErr w:type="spellEnd"/>
        <w:r w:rsidRPr="00874ACB">
          <w:rPr>
            <w:rFonts w:ascii="Segoe UI" w:eastAsia="Times New Roman" w:hAnsi="Segoe UI" w:cs="Segoe UI"/>
            <w:color w:val="1B6DCB"/>
            <w:sz w:val="27"/>
            <w:szCs w:val="27"/>
            <w:lang w:eastAsia="pt-BR"/>
          </w:rPr>
          <w:t xml:space="preserve"> a contratação, por inexigibilidade de licitação, de vencedor de anteprojeto arquitetônico para a execução do "projeto completo" (envolvendo adequação de anteprojeto arquitetônico e elaboração dos projetos legal, básico e executivo</w:t>
        </w:r>
        <w:proofErr w:type="gramStart"/>
        <w:r w:rsidRPr="00874ACB">
          <w:rPr>
            <w:rFonts w:ascii="Segoe UI" w:eastAsia="Times New Roman" w:hAnsi="Segoe UI" w:cs="Segoe UI"/>
            <w:color w:val="1B6DCB"/>
            <w:sz w:val="27"/>
            <w:szCs w:val="27"/>
            <w:lang w:eastAsia="pt-BR"/>
          </w:rPr>
          <w:t>) .</w:t>
        </w:r>
        <w:proofErr w:type="gramEnd"/>
        <w:r w:rsidRPr="00874ACB">
          <w:rPr>
            <w:rFonts w:ascii="Segoe UI" w:eastAsia="Times New Roman" w:hAnsi="Segoe UI" w:cs="Segoe UI"/>
            <w:color w:val="1B6DCB"/>
            <w:sz w:val="27"/>
            <w:szCs w:val="27"/>
            <w:lang w:eastAsia="pt-BR"/>
          </w:rPr>
          <w:t xml:space="preserve"> A exceção ao procedimento licitatório só pode ocorrer se a Administração demonstrar, de forma inequívoca, que somente o escritório de arquitetura vencedor é capaz de executar o projeto </w:t>
        </w:r>
        <w:proofErr w:type="gramStart"/>
        <w:r w:rsidRPr="00874ACB">
          <w:rPr>
            <w:rFonts w:ascii="Segoe UI" w:eastAsia="Times New Roman" w:hAnsi="Segoe UI" w:cs="Segoe UI"/>
            <w:color w:val="1B6DCB"/>
            <w:sz w:val="27"/>
            <w:szCs w:val="27"/>
            <w:lang w:eastAsia="pt-BR"/>
          </w:rPr>
          <w:t>escolhido.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1" w:anchor="/documento/jurisprudencia-selecionada/*/KEY%3AJURISPRUDENCIA-SELECIONADA-18197/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Para a contratação, por inexigibilidade de licitação, de serviço técnico profissional especializado deve estar demonstrado que este possui características singulares, além da condição de notória especialização do </w:t>
        </w:r>
        <w:proofErr w:type="gramStart"/>
        <w:r w:rsidRPr="00874ACB">
          <w:rPr>
            <w:rFonts w:ascii="Segoe UI" w:eastAsia="Times New Roman" w:hAnsi="Segoe UI" w:cs="Segoe UI"/>
            <w:color w:val="1B6DCB"/>
            <w:sz w:val="27"/>
            <w:szCs w:val="27"/>
            <w:lang w:eastAsia="pt-BR"/>
          </w:rPr>
          <w:t>prestador.</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2" w:anchor="/documento/jurisprudencia-selecionada/*/KEY%3AJURISPRUDENCIA-SELECIONADA-18840/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 contratação direta por inexigibilidade, com base no art. 25, inciso II, da Lei 8.666/1993, exige a demonstração dos seguintes requisitos: que o objeto se inclua entre os serviços técnicos especializados do artigo 13 da Lei de Licitações; que tenha natureza singular e que o contratado detenha notória </w:t>
        </w:r>
        <w:proofErr w:type="gramStart"/>
        <w:r w:rsidRPr="00874ACB">
          <w:rPr>
            <w:rFonts w:ascii="Segoe UI" w:eastAsia="Times New Roman" w:hAnsi="Segoe UI" w:cs="Segoe UI"/>
            <w:color w:val="1B6DCB"/>
            <w:sz w:val="27"/>
            <w:szCs w:val="27"/>
            <w:lang w:eastAsia="pt-BR"/>
          </w:rPr>
          <w:t>especialização.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3" w:anchor="/documento/jurisprudencia-selecionada/*/KEY%3AJURISPRUDENCIA-SELECIONADA-18818/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A ausência dos requisitos caracterizadores da inviabilidade de competição, especialmente quanto à singularidade do objeto e à notória especialização do contratado, impossibilita a contratação por inexigibilidade de licitação com base no art. 25, inciso II, da Lei 8.666/</w:t>
        </w:r>
        <w:proofErr w:type="gramStart"/>
        <w:r w:rsidRPr="00874ACB">
          <w:rPr>
            <w:rFonts w:ascii="Segoe UI" w:eastAsia="Times New Roman" w:hAnsi="Segoe UI" w:cs="Segoe UI"/>
            <w:color w:val="1B6DCB"/>
            <w:sz w:val="27"/>
            <w:szCs w:val="27"/>
            <w:lang w:eastAsia="pt-BR"/>
          </w:rPr>
          <w:t>1993.</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4" w:anchor="/documento/jurisprudencia-selecionada/*/KEY%3AJURISPRUDENCIA-SELECIONADA-18845/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No processo de contratação direta com base no art. 25, inciso II, da Lei 8.666/1993, deve constar a comprovação dos pressupostos simultâneos de notória especialização da contratada e da singularidade do objeto, a justificar a inviabilidade do certame licitatório, bem como a demonstração do motivo da escolha do fornecedor e da adequação dos preços avençados com os valores de </w:t>
        </w:r>
        <w:proofErr w:type="gramStart"/>
        <w:r w:rsidRPr="00874ACB">
          <w:rPr>
            <w:rFonts w:ascii="Segoe UI" w:eastAsia="Times New Roman" w:hAnsi="Segoe UI" w:cs="Segoe UI"/>
            <w:color w:val="1B6DCB"/>
            <w:sz w:val="27"/>
            <w:szCs w:val="27"/>
            <w:lang w:eastAsia="pt-BR"/>
          </w:rPr>
          <w:t>mercado.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5" w:anchor="/documento/jurisprudencia-selecionada/*/KEY%3AJURISPRUDENCIA-SELECIONADA-18810/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 prestação de serviço de </w:t>
        </w:r>
        <w:proofErr w:type="spellStart"/>
        <w:r w:rsidRPr="00874ACB">
          <w:rPr>
            <w:rFonts w:ascii="Segoe UI" w:eastAsia="Times New Roman" w:hAnsi="Segoe UI" w:cs="Segoe UI"/>
            <w:color w:val="1B6DCB"/>
            <w:sz w:val="27"/>
            <w:szCs w:val="27"/>
            <w:lang w:eastAsia="pt-BR"/>
          </w:rPr>
          <w:t>call</w:t>
        </w:r>
        <w:proofErr w:type="spellEnd"/>
        <w:r w:rsidRPr="00874ACB">
          <w:rPr>
            <w:rFonts w:ascii="Segoe UI" w:eastAsia="Times New Roman" w:hAnsi="Segoe UI" w:cs="Segoe UI"/>
            <w:color w:val="1B6DCB"/>
            <w:sz w:val="27"/>
            <w:szCs w:val="27"/>
            <w:lang w:eastAsia="pt-BR"/>
          </w:rPr>
          <w:t xml:space="preserve"> </w:t>
        </w:r>
        <w:proofErr w:type="gramStart"/>
        <w:r w:rsidRPr="00874ACB">
          <w:rPr>
            <w:rFonts w:ascii="Segoe UI" w:eastAsia="Times New Roman" w:hAnsi="Segoe UI" w:cs="Segoe UI"/>
            <w:color w:val="1B6DCB"/>
            <w:sz w:val="27"/>
            <w:szCs w:val="27"/>
            <w:lang w:eastAsia="pt-BR"/>
          </w:rPr>
          <w:t>center</w:t>
        </w:r>
        <w:proofErr w:type="gramEnd"/>
        <w:r w:rsidRPr="00874ACB">
          <w:rPr>
            <w:rFonts w:ascii="Segoe UI" w:eastAsia="Times New Roman" w:hAnsi="Segoe UI" w:cs="Segoe UI"/>
            <w:color w:val="1B6DCB"/>
            <w:sz w:val="27"/>
            <w:szCs w:val="27"/>
            <w:lang w:eastAsia="pt-BR"/>
          </w:rPr>
          <w:t xml:space="preserve"> não se enquadra como serviço de natureza exclusiva, onde haja no mercado apenas um fornecedor, o que inviabilizaria, caso dito monopólio fosse verificado, a realização de competição.</w:t>
        </w:r>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6" w:anchor="/documento/jurisprudencia-selecionada/*/KEY%3AJURISPRUDENCIA-SELECIONADA-18846/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Somente deve ser realizada contratação sem licitação com base na notória especialização do contratado (art. 25, inciso II, da Lei 8.666/1993) quando houver inviabilidade de competição entre possíveis interessados, configurando-se simultaneamente a singularidade do objeto e a notoriedade do contratado na execução do serviço específico </w:t>
        </w:r>
        <w:proofErr w:type="gramStart"/>
        <w:r w:rsidRPr="00874ACB">
          <w:rPr>
            <w:rFonts w:ascii="Segoe UI" w:eastAsia="Times New Roman" w:hAnsi="Segoe UI" w:cs="Segoe UI"/>
            <w:color w:val="1B6DCB"/>
            <w:sz w:val="27"/>
            <w:szCs w:val="27"/>
            <w:lang w:eastAsia="pt-BR"/>
          </w:rPr>
          <w:t>desejado.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7" w:anchor="/documento/jurisprudencia-selecionada/*/KEY%3AJURISPRUDENCIA-SELECIONADA-18844/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Não deve ser admitida a contratação de serviço a ser realizado por terceiros sem a realização de prévio procedimento licitatório, inclusive os relacionados a serviços advocatícios, quando não restar demonstrada, formalmente, a inviabilidade de </w:t>
        </w:r>
        <w:proofErr w:type="gramStart"/>
        <w:r w:rsidRPr="00874ACB">
          <w:rPr>
            <w:rFonts w:ascii="Segoe UI" w:eastAsia="Times New Roman" w:hAnsi="Segoe UI" w:cs="Segoe UI"/>
            <w:color w:val="1B6DCB"/>
            <w:sz w:val="27"/>
            <w:szCs w:val="27"/>
            <w:lang w:eastAsia="pt-BR"/>
          </w:rPr>
          <w:t>competição.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8" w:anchor="/documento/jurisprudencia-selecionada/*/KEY%3AJURISPRUDENCIA-SELECIONADA-39572/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Nas contratações de projetos de arquitetura e urbanismo com inexigibilidade de licitação, na forma do art. 25, inciso II, da Lei </w:t>
        </w:r>
        <w:r w:rsidRPr="00874ACB">
          <w:rPr>
            <w:rFonts w:ascii="Segoe UI" w:eastAsia="Times New Roman" w:hAnsi="Segoe UI" w:cs="Segoe UI"/>
            <w:color w:val="1B6DCB"/>
            <w:sz w:val="27"/>
            <w:szCs w:val="27"/>
            <w:lang w:eastAsia="pt-BR"/>
          </w:rPr>
          <w:lastRenderedPageBreak/>
          <w:t>8.666/1993, devem ser obrigatoriamente licitados os projetos de instalações e serviços complementares (cálculo estrutural, água fria, esgoto sanitário, águas pluviais, instalações elétricas, cabeamento estruturado, circuito fechado de televisão, controle de acesso, antena coletiva de televisão, sonorização, detecção e alarme de incêndio, supervisão, comando e controle de edificações, ar-condicionado central, ventilação mecânica, prevenção e combate a incêndios, gás liquefeito de petróleo, acústica, ambiente de segurança, irrigação, coleta de lixo, aspiração central e outros</w:t>
        </w:r>
        <w:proofErr w:type="gramStart"/>
        <w:r w:rsidRPr="00874ACB">
          <w:rPr>
            <w:rFonts w:ascii="Segoe UI" w:eastAsia="Times New Roman" w:hAnsi="Segoe UI" w:cs="Segoe UI"/>
            <w:color w:val="1B6DCB"/>
            <w:sz w:val="27"/>
            <w:szCs w:val="27"/>
            <w:lang w:eastAsia="pt-BR"/>
          </w:rPr>
          <w:t>) ,</w:t>
        </w:r>
        <w:proofErr w:type="gramEnd"/>
        <w:r w:rsidRPr="00874ACB">
          <w:rPr>
            <w:rFonts w:ascii="Segoe UI" w:eastAsia="Times New Roman" w:hAnsi="Segoe UI" w:cs="Segoe UI"/>
            <w:color w:val="1B6DCB"/>
            <w:sz w:val="27"/>
            <w:szCs w:val="27"/>
            <w:lang w:eastAsia="pt-BR"/>
          </w:rPr>
          <w:t xml:space="preserve"> conforme preveem o art. 2º do Estatuto Licitatório e o art. 37, inciso XXI, da Constituição Federal, salvo se cabalmente demonstrada a inviabilidade técnica ou econômica da dissociação, nos termos do art. 23, § 1º, da Lei de Licitações.</w:t>
        </w:r>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29" w:anchor="/documento/jurisprudencia-selecionada/*/KEY%3AJURISPRUDENCIA-SELECIONADA-18819/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SÚMULA TCU 252: A inviabilidade de competição para a contratação de serviços técnicos, a que alude o art. 25, inciso II, da Lei 8.666/1993, decorre da presença simultânea de três requisitos: serviço técnico especializado, entre os mencionados no art. 13 da referida lei, natureza singular do serviço e notória especialização do </w:t>
        </w:r>
        <w:proofErr w:type="gramStart"/>
        <w:r w:rsidRPr="00874ACB">
          <w:rPr>
            <w:rFonts w:ascii="Segoe UI" w:eastAsia="Times New Roman" w:hAnsi="Segoe UI" w:cs="Segoe UI"/>
            <w:color w:val="1B6DCB"/>
            <w:sz w:val="27"/>
            <w:szCs w:val="27"/>
            <w:lang w:eastAsia="pt-BR"/>
          </w:rPr>
          <w:t>contratado.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0" w:anchor="/documento/jurisprudencia-selecionada/*/KEY%3AJURISPRUDENCIA-SELECIONADA-18820/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Não deve ser promovida a contratação direta, por inexigibilidade de licitação, com base no art. 25, inciso II, da Lei 8.666/1993, quando não ficar configurada a singularidade do objeto e os demais requisitos da espécie: os serviços técnicos previstos no art. 13 da Lei de Licitações, e a notoriedade do profissional especializado, que pode ser comprovada por meio de documentos hábeis para tanto, como: diplomas, participações em eventos, cursos ministrados etc.</w:t>
        </w:r>
        <w:proofErr w:type="gramStart"/>
      </w:hyperlink>
      <w:proofErr w:type="gramEnd"/>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1" w:anchor="/documento/jurisprudencia-selecionada/*/KEY%3AJURISPRUDENCIA-SELECIONADA-18842/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 inexigibilidade de licitação, com base no art. 25, inciso II, da Lei 8.666/1993, </w:t>
        </w:r>
        <w:proofErr w:type="gramStart"/>
        <w:r w:rsidRPr="00874ACB">
          <w:rPr>
            <w:rFonts w:ascii="Segoe UI" w:eastAsia="Times New Roman" w:hAnsi="Segoe UI" w:cs="Segoe UI"/>
            <w:color w:val="1B6DCB"/>
            <w:sz w:val="27"/>
            <w:szCs w:val="27"/>
            <w:lang w:eastAsia="pt-BR"/>
          </w:rPr>
          <w:t>sujeita-se</w:t>
        </w:r>
        <w:proofErr w:type="gramEnd"/>
        <w:r w:rsidRPr="00874ACB">
          <w:rPr>
            <w:rFonts w:ascii="Segoe UI" w:eastAsia="Times New Roman" w:hAnsi="Segoe UI" w:cs="Segoe UI"/>
            <w:color w:val="1B6DCB"/>
            <w:sz w:val="27"/>
            <w:szCs w:val="27"/>
            <w:lang w:eastAsia="pt-BR"/>
          </w:rPr>
          <w:t xml:space="preserve"> à fundamentada demonstração da singularidade do objeto, aliada ao caráter técnico profissional especializado dos serviços e à condição de notória especialização do prestador.</w:t>
        </w:r>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2" w:anchor="/documento/jurisprudencia-selecionada/*/KEY%3AJURISPRUDENCIA-SELECIONADA-18841/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 inexigibilidade de licitação, com base no art. 25, inciso II, da Lei 8.666/1993, </w:t>
        </w:r>
        <w:proofErr w:type="gramStart"/>
        <w:r w:rsidRPr="00874ACB">
          <w:rPr>
            <w:rFonts w:ascii="Segoe UI" w:eastAsia="Times New Roman" w:hAnsi="Segoe UI" w:cs="Segoe UI"/>
            <w:color w:val="1B6DCB"/>
            <w:sz w:val="27"/>
            <w:szCs w:val="27"/>
            <w:lang w:eastAsia="pt-BR"/>
          </w:rPr>
          <w:t>sujeita-se</w:t>
        </w:r>
        <w:proofErr w:type="gramEnd"/>
        <w:r w:rsidRPr="00874ACB">
          <w:rPr>
            <w:rFonts w:ascii="Segoe UI" w:eastAsia="Times New Roman" w:hAnsi="Segoe UI" w:cs="Segoe UI"/>
            <w:color w:val="1B6DCB"/>
            <w:sz w:val="27"/>
            <w:szCs w:val="27"/>
            <w:lang w:eastAsia="pt-BR"/>
          </w:rPr>
          <w:t xml:space="preserve"> à fundamentada demonstração da singularidade do objeto, aliada ao caráter técnico profissional especializado dos serviços e à condição de notória especialização do prestador.</w:t>
        </w:r>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3" w:anchor="/documento/jurisprudencia-selecionada/*/KEY%3AJURISPRUDENCIA-SELECIONADA-31508/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É irregular a contratação por inexigibilidade de licitação com base no art. 25, inciso II, da Lei 8.666/1993 quando não demonstradas a singularidade do objeto e a notória especialização do </w:t>
        </w:r>
        <w:proofErr w:type="gramStart"/>
        <w:r w:rsidRPr="00874ACB">
          <w:rPr>
            <w:rFonts w:ascii="Segoe UI" w:eastAsia="Times New Roman" w:hAnsi="Segoe UI" w:cs="Segoe UI"/>
            <w:color w:val="1B6DCB"/>
            <w:sz w:val="27"/>
            <w:szCs w:val="27"/>
            <w:lang w:eastAsia="pt-BR"/>
          </w:rPr>
          <w:t>contratado.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4" w:anchor="/documento/jurisprudencia-selecionada/*/KEY%3AJURISPRUDENCIA-SELECIONADA-31507/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As contratações de professores, conferencistas ou instrutores para ministrar cursos de treinamento ou aperfeiçoamento de pessoal enquadram-se na hipótese de inexigibilidade de licitação prevista no inciso II do art. 25, combinado com o inciso VI do art. 13 da Lei 8.666/</w:t>
        </w:r>
        <w:proofErr w:type="gramStart"/>
        <w:r w:rsidRPr="00874ACB">
          <w:rPr>
            <w:rFonts w:ascii="Segoe UI" w:eastAsia="Times New Roman" w:hAnsi="Segoe UI" w:cs="Segoe UI"/>
            <w:color w:val="1B6DCB"/>
            <w:sz w:val="27"/>
            <w:szCs w:val="27"/>
            <w:lang w:eastAsia="pt-BR"/>
          </w:rPr>
          <w:t>1993.</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5" w:anchor="/documento/jurisprudencia-selecionada/*/KEY%3AJURISPRUDENCIA-SELECIONADA-32937/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Para contratação de serviços técnicos por inexigibilidade de licitação, não basta comprovar que o serviço objeto do contrato seja de natureza singular ou técnico especializado (art. 13 da Lei 8.666/1993</w:t>
        </w:r>
        <w:proofErr w:type="gramStart"/>
        <w:r w:rsidRPr="00874ACB">
          <w:rPr>
            <w:rFonts w:ascii="Segoe UI" w:eastAsia="Times New Roman" w:hAnsi="Segoe UI" w:cs="Segoe UI"/>
            <w:color w:val="1B6DCB"/>
            <w:sz w:val="27"/>
            <w:szCs w:val="27"/>
            <w:lang w:eastAsia="pt-BR"/>
          </w:rPr>
          <w:t>) .</w:t>
        </w:r>
        <w:proofErr w:type="gramEnd"/>
        <w:r w:rsidRPr="00874ACB">
          <w:rPr>
            <w:rFonts w:ascii="Segoe UI" w:eastAsia="Times New Roman" w:hAnsi="Segoe UI" w:cs="Segoe UI"/>
            <w:color w:val="1B6DCB"/>
            <w:sz w:val="27"/>
            <w:szCs w:val="27"/>
            <w:lang w:eastAsia="pt-BR"/>
          </w:rPr>
          <w:t xml:space="preserve"> É indispensável </w:t>
        </w:r>
        <w:proofErr w:type="gramStart"/>
        <w:r w:rsidRPr="00874ACB">
          <w:rPr>
            <w:rFonts w:ascii="Segoe UI" w:eastAsia="Times New Roman" w:hAnsi="Segoe UI" w:cs="Segoe UI"/>
            <w:color w:val="1B6DCB"/>
            <w:sz w:val="27"/>
            <w:szCs w:val="27"/>
            <w:lang w:eastAsia="pt-BR"/>
          </w:rPr>
          <w:t>a</w:t>
        </w:r>
        <w:proofErr w:type="gramEnd"/>
        <w:r w:rsidRPr="00874ACB">
          <w:rPr>
            <w:rFonts w:ascii="Segoe UI" w:eastAsia="Times New Roman" w:hAnsi="Segoe UI" w:cs="Segoe UI"/>
            <w:color w:val="1B6DCB"/>
            <w:sz w:val="27"/>
            <w:szCs w:val="27"/>
            <w:lang w:eastAsia="pt-BR"/>
          </w:rPr>
          <w:t xml:space="preserve"> demonstração inequívoca de que somente determinada empresa, ou profissional, está apta a realizar o serviço que se pretende contratar, isto é, que o executor possua notória especialização.</w:t>
        </w:r>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6" w:anchor="/documento/jurisprudencia-selecionada/*/KEY%3AJURISPRUDENCIA-SELECIONADA-32923/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 contratação por inexigibilidade de licitação em virtude de objeto singular e da notória especialização do contratado exige avaliação subjetiva no que </w:t>
        </w:r>
        <w:proofErr w:type="spellStart"/>
        <w:r w:rsidRPr="00874ACB">
          <w:rPr>
            <w:rFonts w:ascii="Segoe UI" w:eastAsia="Times New Roman" w:hAnsi="Segoe UI" w:cs="Segoe UI"/>
            <w:color w:val="1B6DCB"/>
            <w:sz w:val="27"/>
            <w:szCs w:val="27"/>
            <w:lang w:eastAsia="pt-BR"/>
          </w:rPr>
          <w:t>pertine</w:t>
        </w:r>
        <w:proofErr w:type="spellEnd"/>
        <w:r w:rsidRPr="00874ACB">
          <w:rPr>
            <w:rFonts w:ascii="Segoe UI" w:eastAsia="Times New Roman" w:hAnsi="Segoe UI" w:cs="Segoe UI"/>
            <w:color w:val="1B6DCB"/>
            <w:sz w:val="27"/>
            <w:szCs w:val="27"/>
            <w:lang w:eastAsia="pt-BR"/>
          </w:rPr>
          <w:t xml:space="preserve"> à escolha da empresa ou do profissional a ser </w:t>
        </w:r>
        <w:proofErr w:type="gramStart"/>
        <w:r w:rsidRPr="00874ACB">
          <w:rPr>
            <w:rFonts w:ascii="Segoe UI" w:eastAsia="Times New Roman" w:hAnsi="Segoe UI" w:cs="Segoe UI"/>
            <w:color w:val="1B6DCB"/>
            <w:sz w:val="27"/>
            <w:szCs w:val="27"/>
            <w:lang w:eastAsia="pt-BR"/>
          </w:rPr>
          <w:t>contratado.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7" w:anchor="/documento/jurisprudencia-selecionada/*/KEY%3AJURISPRUDENCIA-SELECIONADA-32924/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É indevida a aplicação de </w:t>
        </w:r>
        <w:proofErr w:type="spellStart"/>
        <w:r w:rsidRPr="00874ACB">
          <w:rPr>
            <w:rFonts w:ascii="Segoe UI" w:eastAsia="Times New Roman" w:hAnsi="Segoe UI" w:cs="Segoe UI"/>
            <w:color w:val="1B6DCB"/>
            <w:sz w:val="27"/>
            <w:szCs w:val="27"/>
            <w:lang w:eastAsia="pt-BR"/>
          </w:rPr>
          <w:t>inexibigilidade</w:t>
        </w:r>
        <w:proofErr w:type="spellEnd"/>
        <w:r w:rsidRPr="00874ACB">
          <w:rPr>
            <w:rFonts w:ascii="Segoe UI" w:eastAsia="Times New Roman" w:hAnsi="Segoe UI" w:cs="Segoe UI"/>
            <w:color w:val="1B6DCB"/>
            <w:sz w:val="27"/>
            <w:szCs w:val="27"/>
            <w:lang w:eastAsia="pt-BR"/>
          </w:rPr>
          <w:t xml:space="preserve"> de licitação, quando o contratante não demonstra a singularidade do serviço e a notória especialização do contratado com relação ao objeto do serviço a ser </w:t>
        </w:r>
        <w:proofErr w:type="gramStart"/>
        <w:r w:rsidRPr="00874ACB">
          <w:rPr>
            <w:rFonts w:ascii="Segoe UI" w:eastAsia="Times New Roman" w:hAnsi="Segoe UI" w:cs="Segoe UI"/>
            <w:color w:val="1B6DCB"/>
            <w:sz w:val="27"/>
            <w:szCs w:val="27"/>
            <w:lang w:eastAsia="pt-BR"/>
          </w:rPr>
          <w:t>prestado.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8" w:anchor="/documento/jurisprudencia-selecionada/*/KEY%3AJURISPRUDENCIA-SELECIONADA-32936/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Não só a notória especialização do contratado, mas também a singularidade do objeto, o caráter técnico-profissional especializado dos serviços e a inviabilidade de competição são elementos imprescindíveis para que a inexigibilidade de </w:t>
        </w:r>
        <w:proofErr w:type="gramStart"/>
        <w:r w:rsidRPr="00874ACB">
          <w:rPr>
            <w:rFonts w:ascii="Segoe UI" w:eastAsia="Times New Roman" w:hAnsi="Segoe UI" w:cs="Segoe UI"/>
            <w:color w:val="1B6DCB"/>
            <w:sz w:val="27"/>
            <w:szCs w:val="27"/>
            <w:lang w:eastAsia="pt-BR"/>
          </w:rPr>
          <w:t>licitação.</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39" w:anchor="/documento/jurisprudencia-selecionada/*/KEY%3AJURISPRUDENCIA-SELECIONADA-32925/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Pode ser objeto de inexigibilidade de licitação a contratação de instrutores para cursos de caráter </w:t>
        </w:r>
        <w:proofErr w:type="gramStart"/>
        <w:r w:rsidRPr="00874ACB">
          <w:rPr>
            <w:rFonts w:ascii="Segoe UI" w:eastAsia="Times New Roman" w:hAnsi="Segoe UI" w:cs="Segoe UI"/>
            <w:color w:val="1B6DCB"/>
            <w:sz w:val="27"/>
            <w:szCs w:val="27"/>
            <w:lang w:eastAsia="pt-BR"/>
          </w:rPr>
          <w:t>eventual.</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40" w:anchor="/documento/jurisprudencia-selecionada/*/KEY%3AJURISPRUDENCIA-SELECIONADA-33906/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 singularidade do objeto e a comprovação da notoriedade da entidade contratada justificam a contratação </w:t>
        </w:r>
        <w:proofErr w:type="gramStart"/>
        <w:r w:rsidRPr="00874ACB">
          <w:rPr>
            <w:rFonts w:ascii="Segoe UI" w:eastAsia="Times New Roman" w:hAnsi="Segoe UI" w:cs="Segoe UI"/>
            <w:color w:val="1B6DCB"/>
            <w:sz w:val="27"/>
            <w:szCs w:val="27"/>
            <w:lang w:eastAsia="pt-BR"/>
          </w:rPr>
          <w:t>direta.</w:t>
        </w:r>
        <w:proofErr w:type="gramEnd"/>
      </w:hyperlink>
    </w:p>
    <w:p w:rsidR="00874ACB" w:rsidRPr="00874ACB" w:rsidRDefault="00874ACB" w:rsidP="00874ACB">
      <w:pPr>
        <w:numPr>
          <w:ilvl w:val="0"/>
          <w:numId w:val="2"/>
        </w:numPr>
        <w:shd w:val="clear" w:color="auto" w:fill="FFFFFF"/>
        <w:spacing w:before="100" w:beforeAutospacing="1" w:after="100" w:afterAutospacing="1" w:line="240" w:lineRule="auto"/>
        <w:rPr>
          <w:rFonts w:ascii="Segoe UI" w:eastAsia="Times New Roman" w:hAnsi="Segoe UI" w:cs="Segoe UI"/>
          <w:color w:val="4D4C4C"/>
          <w:sz w:val="27"/>
          <w:szCs w:val="27"/>
          <w:lang w:eastAsia="pt-BR"/>
        </w:rPr>
      </w:pPr>
      <w:hyperlink r:id="rId41" w:anchor="/documento/jurisprudencia-selecionada/*/KEY%3AJURISPRUDENCIA-SELECIONADA-34290/score%20desc%2C%20COLEGIADO%20asc%2C%20ANOACORDAO%20desc%2C%20NUMACORDAO%20desc/0/sinonimos%3Dtrue" w:tgtFrame="_blank" w:history="1">
        <w:r w:rsidRPr="00874ACB">
          <w:rPr>
            <w:rFonts w:ascii="Segoe UI" w:eastAsia="Times New Roman" w:hAnsi="Segoe UI" w:cs="Segoe UI"/>
            <w:color w:val="1B6DCB"/>
            <w:sz w:val="27"/>
            <w:szCs w:val="27"/>
            <w:lang w:eastAsia="pt-BR"/>
          </w:rPr>
          <w:t xml:space="preserve">As contratações de professores, conferencistas ou instrutores para ministrar cursos de treinamento ou aperfeiçoamento de pessoal enquadram-se na hipótese de inexigibilidade de </w:t>
        </w:r>
        <w:proofErr w:type="gramStart"/>
        <w:r w:rsidRPr="00874ACB">
          <w:rPr>
            <w:rFonts w:ascii="Segoe UI" w:eastAsia="Times New Roman" w:hAnsi="Segoe UI" w:cs="Segoe UI"/>
            <w:color w:val="1B6DCB"/>
            <w:sz w:val="27"/>
            <w:szCs w:val="27"/>
            <w:lang w:eastAsia="pt-BR"/>
          </w:rPr>
          <w:t>licitação.</w:t>
        </w:r>
        <w:proofErr w:type="gramEnd"/>
      </w:hyperlink>
    </w:p>
    <w:p w:rsidR="002D20FB" w:rsidRDefault="002D20FB"/>
    <w:sectPr w:rsidR="002D20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A69"/>
    <w:multiLevelType w:val="multilevel"/>
    <w:tmpl w:val="3C5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3F791D"/>
    <w:multiLevelType w:val="multilevel"/>
    <w:tmpl w:val="4FEE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CB"/>
    <w:rsid w:val="002D20FB"/>
    <w:rsid w:val="00874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3728">
      <w:bodyDiv w:val="1"/>
      <w:marLeft w:val="0"/>
      <w:marRight w:val="0"/>
      <w:marTop w:val="0"/>
      <w:marBottom w:val="0"/>
      <w:divBdr>
        <w:top w:val="none" w:sz="0" w:space="0" w:color="auto"/>
        <w:left w:val="none" w:sz="0" w:space="0" w:color="auto"/>
        <w:bottom w:val="none" w:sz="0" w:space="0" w:color="auto"/>
        <w:right w:val="none" w:sz="0" w:space="0" w:color="auto"/>
      </w:divBdr>
      <w:divsChild>
        <w:div w:id="89861959">
          <w:marLeft w:val="0"/>
          <w:marRight w:val="0"/>
          <w:marTop w:val="0"/>
          <w:marBottom w:val="0"/>
          <w:divBdr>
            <w:top w:val="none" w:sz="0" w:space="0" w:color="auto"/>
            <w:left w:val="none" w:sz="0" w:space="0" w:color="auto"/>
            <w:bottom w:val="none" w:sz="0" w:space="0" w:color="auto"/>
            <w:right w:val="none" w:sz="0" w:space="0" w:color="auto"/>
          </w:divBdr>
          <w:divsChild>
            <w:div w:id="936982527">
              <w:marLeft w:val="0"/>
              <w:marRight w:val="0"/>
              <w:marTop w:val="0"/>
              <w:marBottom w:val="0"/>
              <w:divBdr>
                <w:top w:val="none" w:sz="0" w:space="0" w:color="auto"/>
                <w:left w:val="none" w:sz="0" w:space="0" w:color="auto"/>
                <w:bottom w:val="none" w:sz="0" w:space="0" w:color="auto"/>
                <w:right w:val="none" w:sz="0" w:space="0" w:color="auto"/>
              </w:divBdr>
              <w:divsChild>
                <w:div w:id="1318613111">
                  <w:marLeft w:val="0"/>
                  <w:marRight w:val="0"/>
                  <w:marTop w:val="0"/>
                  <w:marBottom w:val="0"/>
                  <w:divBdr>
                    <w:top w:val="none" w:sz="0" w:space="0" w:color="auto"/>
                    <w:left w:val="none" w:sz="0" w:space="0" w:color="auto"/>
                    <w:bottom w:val="none" w:sz="0" w:space="0" w:color="auto"/>
                    <w:right w:val="none" w:sz="0" w:space="0" w:color="auto"/>
                  </w:divBdr>
                </w:div>
              </w:divsChild>
            </w:div>
            <w:div w:id="851384658">
              <w:marLeft w:val="0"/>
              <w:marRight w:val="0"/>
              <w:marTop w:val="0"/>
              <w:marBottom w:val="0"/>
              <w:divBdr>
                <w:top w:val="none" w:sz="0" w:space="0" w:color="auto"/>
                <w:left w:val="none" w:sz="0" w:space="0" w:color="auto"/>
                <w:bottom w:val="none" w:sz="0" w:space="0" w:color="auto"/>
                <w:right w:val="none" w:sz="0" w:space="0" w:color="auto"/>
              </w:divBdr>
              <w:divsChild>
                <w:div w:id="1205214641">
                  <w:marLeft w:val="0"/>
                  <w:marRight w:val="0"/>
                  <w:marTop w:val="0"/>
                  <w:marBottom w:val="0"/>
                  <w:divBdr>
                    <w:top w:val="none" w:sz="0" w:space="0" w:color="auto"/>
                    <w:left w:val="none" w:sz="0" w:space="0" w:color="auto"/>
                    <w:bottom w:val="none" w:sz="0" w:space="0" w:color="auto"/>
                    <w:right w:val="none" w:sz="0" w:space="0" w:color="auto"/>
                  </w:divBdr>
                </w:div>
              </w:divsChild>
            </w:div>
            <w:div w:id="262997896">
              <w:marLeft w:val="0"/>
              <w:marRight w:val="0"/>
              <w:marTop w:val="0"/>
              <w:marBottom w:val="0"/>
              <w:divBdr>
                <w:top w:val="none" w:sz="0" w:space="0" w:color="auto"/>
                <w:left w:val="none" w:sz="0" w:space="0" w:color="auto"/>
                <w:bottom w:val="none" w:sz="0" w:space="0" w:color="auto"/>
                <w:right w:val="none" w:sz="0" w:space="0" w:color="auto"/>
              </w:divBdr>
              <w:divsChild>
                <w:div w:id="16867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1402">
          <w:marLeft w:val="0"/>
          <w:marRight w:val="0"/>
          <w:marTop w:val="0"/>
          <w:marBottom w:val="0"/>
          <w:divBdr>
            <w:top w:val="none" w:sz="0" w:space="0" w:color="auto"/>
            <w:left w:val="none" w:sz="0" w:space="0" w:color="auto"/>
            <w:bottom w:val="none" w:sz="0" w:space="0" w:color="auto"/>
            <w:right w:val="none" w:sz="0" w:space="0" w:color="auto"/>
          </w:divBdr>
          <w:divsChild>
            <w:div w:id="2048681607">
              <w:marLeft w:val="0"/>
              <w:marRight w:val="0"/>
              <w:marTop w:val="0"/>
              <w:marBottom w:val="0"/>
              <w:divBdr>
                <w:top w:val="none" w:sz="0" w:space="0" w:color="auto"/>
                <w:left w:val="none" w:sz="0" w:space="0" w:color="auto"/>
                <w:bottom w:val="none" w:sz="0" w:space="0" w:color="auto"/>
                <w:right w:val="none" w:sz="0" w:space="0" w:color="auto"/>
              </w:divBdr>
              <w:divsChild>
                <w:div w:id="971594751">
                  <w:marLeft w:val="0"/>
                  <w:marRight w:val="0"/>
                  <w:marTop w:val="0"/>
                  <w:marBottom w:val="0"/>
                  <w:divBdr>
                    <w:top w:val="none" w:sz="0" w:space="0" w:color="auto"/>
                    <w:left w:val="none" w:sz="0" w:space="0" w:color="auto"/>
                    <w:bottom w:val="none" w:sz="0" w:space="0" w:color="auto"/>
                    <w:right w:val="none" w:sz="0" w:space="0" w:color="auto"/>
                  </w:divBdr>
                </w:div>
              </w:divsChild>
            </w:div>
            <w:div w:id="706223744">
              <w:marLeft w:val="0"/>
              <w:marRight w:val="0"/>
              <w:marTop w:val="0"/>
              <w:marBottom w:val="0"/>
              <w:divBdr>
                <w:top w:val="none" w:sz="0" w:space="0" w:color="auto"/>
                <w:left w:val="none" w:sz="0" w:space="0" w:color="auto"/>
                <w:bottom w:val="none" w:sz="0" w:space="0" w:color="auto"/>
                <w:right w:val="none" w:sz="0" w:space="0" w:color="auto"/>
              </w:divBdr>
              <w:divsChild>
                <w:div w:id="15929032">
                  <w:marLeft w:val="0"/>
                  <w:marRight w:val="0"/>
                  <w:marTop w:val="0"/>
                  <w:marBottom w:val="0"/>
                  <w:divBdr>
                    <w:top w:val="none" w:sz="0" w:space="0" w:color="auto"/>
                    <w:left w:val="none" w:sz="0" w:space="0" w:color="auto"/>
                    <w:bottom w:val="none" w:sz="0" w:space="0" w:color="auto"/>
                    <w:right w:val="none" w:sz="0" w:space="0" w:color="auto"/>
                  </w:divBdr>
                </w:div>
              </w:divsChild>
            </w:div>
            <w:div w:id="1239943401">
              <w:marLeft w:val="0"/>
              <w:marRight w:val="0"/>
              <w:marTop w:val="0"/>
              <w:marBottom w:val="0"/>
              <w:divBdr>
                <w:top w:val="none" w:sz="0" w:space="0" w:color="auto"/>
                <w:left w:val="none" w:sz="0" w:space="0" w:color="auto"/>
                <w:bottom w:val="none" w:sz="0" w:space="0" w:color="auto"/>
                <w:right w:val="none" w:sz="0" w:space="0" w:color="auto"/>
              </w:divBdr>
              <w:divsChild>
                <w:div w:id="444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5059">
          <w:marLeft w:val="0"/>
          <w:marRight w:val="0"/>
          <w:marTop w:val="0"/>
          <w:marBottom w:val="0"/>
          <w:divBdr>
            <w:top w:val="none" w:sz="0" w:space="0" w:color="auto"/>
            <w:left w:val="none" w:sz="0" w:space="0" w:color="auto"/>
            <w:bottom w:val="none" w:sz="0" w:space="0" w:color="auto"/>
            <w:right w:val="none" w:sz="0" w:space="0" w:color="auto"/>
          </w:divBdr>
          <w:divsChild>
            <w:div w:id="498892075">
              <w:marLeft w:val="0"/>
              <w:marRight w:val="0"/>
              <w:marTop w:val="0"/>
              <w:marBottom w:val="0"/>
              <w:divBdr>
                <w:top w:val="none" w:sz="0" w:space="0" w:color="auto"/>
                <w:left w:val="none" w:sz="0" w:space="0" w:color="auto"/>
                <w:bottom w:val="none" w:sz="0" w:space="0" w:color="auto"/>
                <w:right w:val="none" w:sz="0" w:space="0" w:color="auto"/>
              </w:divBdr>
              <w:divsChild>
                <w:div w:id="57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62435">
          <w:marLeft w:val="0"/>
          <w:marRight w:val="0"/>
          <w:marTop w:val="0"/>
          <w:marBottom w:val="0"/>
          <w:divBdr>
            <w:top w:val="none" w:sz="0" w:space="0" w:color="auto"/>
            <w:left w:val="none" w:sz="0" w:space="0" w:color="auto"/>
            <w:bottom w:val="none" w:sz="0" w:space="0" w:color="auto"/>
            <w:right w:val="none" w:sz="0" w:space="0" w:color="auto"/>
          </w:divBdr>
          <w:divsChild>
            <w:div w:id="1218276217">
              <w:marLeft w:val="0"/>
              <w:marRight w:val="0"/>
              <w:marTop w:val="0"/>
              <w:marBottom w:val="0"/>
              <w:divBdr>
                <w:top w:val="none" w:sz="0" w:space="0" w:color="auto"/>
                <w:left w:val="none" w:sz="0" w:space="0" w:color="auto"/>
                <w:bottom w:val="none" w:sz="0" w:space="0" w:color="auto"/>
                <w:right w:val="none" w:sz="0" w:space="0" w:color="auto"/>
              </w:divBdr>
              <w:divsChild>
                <w:div w:id="12660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6995">
          <w:marLeft w:val="0"/>
          <w:marRight w:val="0"/>
          <w:marTop w:val="0"/>
          <w:marBottom w:val="0"/>
          <w:divBdr>
            <w:top w:val="none" w:sz="0" w:space="0" w:color="auto"/>
            <w:left w:val="none" w:sz="0" w:space="0" w:color="auto"/>
            <w:bottom w:val="none" w:sz="0" w:space="0" w:color="auto"/>
            <w:right w:val="none" w:sz="0" w:space="0" w:color="auto"/>
          </w:divBdr>
          <w:divsChild>
            <w:div w:id="1035303499">
              <w:marLeft w:val="0"/>
              <w:marRight w:val="0"/>
              <w:marTop w:val="0"/>
              <w:marBottom w:val="0"/>
              <w:divBdr>
                <w:top w:val="none" w:sz="0" w:space="0" w:color="auto"/>
                <w:left w:val="none" w:sz="0" w:space="0" w:color="auto"/>
                <w:bottom w:val="none" w:sz="0" w:space="0" w:color="auto"/>
                <w:right w:val="none" w:sz="0" w:space="0" w:color="auto"/>
              </w:divBdr>
              <w:divsChild>
                <w:div w:id="5194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4421">
          <w:marLeft w:val="0"/>
          <w:marRight w:val="0"/>
          <w:marTop w:val="0"/>
          <w:marBottom w:val="0"/>
          <w:divBdr>
            <w:top w:val="none" w:sz="0" w:space="0" w:color="auto"/>
            <w:left w:val="none" w:sz="0" w:space="0" w:color="auto"/>
            <w:bottom w:val="none" w:sz="0" w:space="0" w:color="auto"/>
            <w:right w:val="none" w:sz="0" w:space="0" w:color="auto"/>
          </w:divBdr>
          <w:divsChild>
            <w:div w:id="764615483">
              <w:marLeft w:val="0"/>
              <w:marRight w:val="0"/>
              <w:marTop w:val="0"/>
              <w:marBottom w:val="0"/>
              <w:divBdr>
                <w:top w:val="none" w:sz="0" w:space="0" w:color="auto"/>
                <w:left w:val="none" w:sz="0" w:space="0" w:color="auto"/>
                <w:bottom w:val="none" w:sz="0" w:space="0" w:color="auto"/>
                <w:right w:val="none" w:sz="0" w:space="0" w:color="auto"/>
              </w:divBdr>
              <w:divsChild>
                <w:div w:id="20855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7866">
          <w:marLeft w:val="0"/>
          <w:marRight w:val="0"/>
          <w:marTop w:val="0"/>
          <w:marBottom w:val="0"/>
          <w:divBdr>
            <w:top w:val="none" w:sz="0" w:space="0" w:color="auto"/>
            <w:left w:val="none" w:sz="0" w:space="0" w:color="auto"/>
            <w:bottom w:val="none" w:sz="0" w:space="0" w:color="auto"/>
            <w:right w:val="none" w:sz="0" w:space="0" w:color="auto"/>
          </w:divBdr>
          <w:divsChild>
            <w:div w:id="1695959174">
              <w:marLeft w:val="0"/>
              <w:marRight w:val="0"/>
              <w:marTop w:val="0"/>
              <w:marBottom w:val="0"/>
              <w:divBdr>
                <w:top w:val="none" w:sz="0" w:space="0" w:color="auto"/>
                <w:left w:val="none" w:sz="0" w:space="0" w:color="auto"/>
                <w:bottom w:val="none" w:sz="0" w:space="0" w:color="auto"/>
                <w:right w:val="none" w:sz="0" w:space="0" w:color="auto"/>
              </w:divBdr>
              <w:divsChild>
                <w:div w:id="12243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733">
          <w:marLeft w:val="0"/>
          <w:marRight w:val="0"/>
          <w:marTop w:val="0"/>
          <w:marBottom w:val="0"/>
          <w:divBdr>
            <w:top w:val="none" w:sz="0" w:space="0" w:color="auto"/>
            <w:left w:val="none" w:sz="0" w:space="0" w:color="auto"/>
            <w:bottom w:val="none" w:sz="0" w:space="0" w:color="auto"/>
            <w:right w:val="none" w:sz="0" w:space="0" w:color="auto"/>
          </w:divBdr>
          <w:divsChild>
            <w:div w:id="140197024">
              <w:marLeft w:val="0"/>
              <w:marRight w:val="0"/>
              <w:marTop w:val="0"/>
              <w:marBottom w:val="0"/>
              <w:divBdr>
                <w:top w:val="none" w:sz="0" w:space="0" w:color="auto"/>
                <w:left w:val="none" w:sz="0" w:space="0" w:color="auto"/>
                <w:bottom w:val="none" w:sz="0" w:space="0" w:color="auto"/>
                <w:right w:val="none" w:sz="0" w:space="0" w:color="auto"/>
              </w:divBdr>
              <w:divsChild>
                <w:div w:id="219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apps.tcu.gov.br/" TargetMode="External"/><Relationship Id="rId13" Type="http://schemas.openxmlformats.org/officeDocument/2006/relationships/hyperlink" Target="https://pesquisa.apps.tcu.gov.br/" TargetMode="External"/><Relationship Id="rId18" Type="http://schemas.openxmlformats.org/officeDocument/2006/relationships/hyperlink" Target="https://pesquisa.apps.tcu.gov.br/" TargetMode="External"/><Relationship Id="rId26" Type="http://schemas.openxmlformats.org/officeDocument/2006/relationships/hyperlink" Target="https://pesquisa.apps.tcu.gov.br/" TargetMode="External"/><Relationship Id="rId39" Type="http://schemas.openxmlformats.org/officeDocument/2006/relationships/hyperlink" Target="https://pesquisa.apps.tcu.gov.br/" TargetMode="External"/><Relationship Id="rId3" Type="http://schemas.microsoft.com/office/2007/relationships/stylesWithEffects" Target="stylesWithEffects.xml"/><Relationship Id="rId21" Type="http://schemas.openxmlformats.org/officeDocument/2006/relationships/hyperlink" Target="https://pesquisa.apps.tcu.gov.br/" TargetMode="External"/><Relationship Id="rId34" Type="http://schemas.openxmlformats.org/officeDocument/2006/relationships/hyperlink" Target="https://pesquisa.apps.tcu.gov.br/" TargetMode="External"/><Relationship Id="rId42" Type="http://schemas.openxmlformats.org/officeDocument/2006/relationships/fontTable" Target="fontTable.xml"/><Relationship Id="rId7" Type="http://schemas.openxmlformats.org/officeDocument/2006/relationships/hyperlink" Target="https://pesquisa.apps.tcu.gov.br/" TargetMode="External"/><Relationship Id="rId12" Type="http://schemas.openxmlformats.org/officeDocument/2006/relationships/hyperlink" Target="https://pesquisa.apps.tcu.gov.br/" TargetMode="External"/><Relationship Id="rId17" Type="http://schemas.openxmlformats.org/officeDocument/2006/relationships/hyperlink" Target="https://pesquisa.apps.tcu.gov.br/" TargetMode="External"/><Relationship Id="rId25" Type="http://schemas.openxmlformats.org/officeDocument/2006/relationships/hyperlink" Target="https://pesquisa.apps.tcu.gov.br/" TargetMode="External"/><Relationship Id="rId33" Type="http://schemas.openxmlformats.org/officeDocument/2006/relationships/hyperlink" Target="https://pesquisa.apps.tcu.gov.br/" TargetMode="External"/><Relationship Id="rId38"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https://pesquisa.apps.tcu.gov.br/" TargetMode="External"/><Relationship Id="rId20" Type="http://schemas.openxmlformats.org/officeDocument/2006/relationships/hyperlink" Target="https://pesquisa.apps.tcu.gov.br/" TargetMode="External"/><Relationship Id="rId29" Type="http://schemas.openxmlformats.org/officeDocument/2006/relationships/hyperlink" Target="https://pesquisa.apps.tcu.gov.br/" TargetMode="External"/><Relationship Id="rId41" Type="http://schemas.openxmlformats.org/officeDocument/2006/relationships/hyperlink" Target="https://pesquisa.apps.tcu.gov.br/" TargetMode="External"/><Relationship Id="rId1" Type="http://schemas.openxmlformats.org/officeDocument/2006/relationships/numbering" Target="numbering.xml"/><Relationship Id="rId6" Type="http://schemas.openxmlformats.org/officeDocument/2006/relationships/hyperlink" Target="https://pesquisa.apps.tcu.gov.br/" TargetMode="External"/><Relationship Id="rId11" Type="http://schemas.openxmlformats.org/officeDocument/2006/relationships/hyperlink" Target="https://pesquisa.apps.tcu.gov.br/" TargetMode="External"/><Relationship Id="rId24" Type="http://schemas.openxmlformats.org/officeDocument/2006/relationships/hyperlink" Target="https://pesquisa.apps.tcu.gov.br/" TargetMode="External"/><Relationship Id="rId32" Type="http://schemas.openxmlformats.org/officeDocument/2006/relationships/hyperlink" Target="https://pesquisa.apps.tcu.gov.br/" TargetMode="External"/><Relationship Id="rId37" Type="http://schemas.openxmlformats.org/officeDocument/2006/relationships/hyperlink" Target="https://pesquisa.apps.tcu.gov.br/" TargetMode="External"/><Relationship Id="rId40" Type="http://schemas.openxmlformats.org/officeDocument/2006/relationships/hyperlink" Target="https://pesquisa.apps.tcu.gov.br/" TargetMode="External"/><Relationship Id="rId5" Type="http://schemas.openxmlformats.org/officeDocument/2006/relationships/webSettings" Target="webSettings.xml"/><Relationship Id="rId15" Type="http://schemas.openxmlformats.org/officeDocument/2006/relationships/hyperlink" Target="https://pesquisa.apps.tcu.gov.br/" TargetMode="External"/><Relationship Id="rId23" Type="http://schemas.openxmlformats.org/officeDocument/2006/relationships/hyperlink" Target="https://pesquisa.apps.tcu.gov.br/" TargetMode="External"/><Relationship Id="rId28" Type="http://schemas.openxmlformats.org/officeDocument/2006/relationships/hyperlink" Target="https://pesquisa.apps.tcu.gov.br/" TargetMode="External"/><Relationship Id="rId36" Type="http://schemas.openxmlformats.org/officeDocument/2006/relationships/hyperlink" Target="https://pesquisa.apps.tcu.gov.br/" TargetMode="External"/><Relationship Id="rId10" Type="http://schemas.openxmlformats.org/officeDocument/2006/relationships/hyperlink" Target="https://pesquisa.apps.tcu.gov.br/" TargetMode="External"/><Relationship Id="rId19" Type="http://schemas.openxmlformats.org/officeDocument/2006/relationships/hyperlink" Target="https://pesquisa.apps.tcu.gov.br/" TargetMode="External"/><Relationship Id="rId31" Type="http://schemas.openxmlformats.org/officeDocument/2006/relationships/hyperlink" Target="https://pesquisa.apps.tcu.gov.br/" TargetMode="External"/><Relationship Id="rId4" Type="http://schemas.openxmlformats.org/officeDocument/2006/relationships/settings" Target="settings.xml"/><Relationship Id="rId9" Type="http://schemas.openxmlformats.org/officeDocument/2006/relationships/hyperlink" Target="https://pesquisa.apps.tcu.gov.br/" TargetMode="External"/><Relationship Id="rId14" Type="http://schemas.openxmlformats.org/officeDocument/2006/relationships/hyperlink" Target="https://pesquisa.apps.tcu.gov.br/" TargetMode="External"/><Relationship Id="rId22" Type="http://schemas.openxmlformats.org/officeDocument/2006/relationships/hyperlink" Target="https://pesquisa.apps.tcu.gov.br/" TargetMode="External"/><Relationship Id="rId27" Type="http://schemas.openxmlformats.org/officeDocument/2006/relationships/hyperlink" Target="https://pesquisa.apps.tcu.gov.br/" TargetMode="External"/><Relationship Id="rId30" Type="http://schemas.openxmlformats.org/officeDocument/2006/relationships/hyperlink" Target="https://pesquisa.apps.tcu.gov.br/" TargetMode="External"/><Relationship Id="rId35" Type="http://schemas.openxmlformats.org/officeDocument/2006/relationships/hyperlink" Target="https://pesquisa.apps.tcu.gov.br/"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3880</Words>
  <Characters>20957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1</cp:revision>
  <dcterms:created xsi:type="dcterms:W3CDTF">2019-06-06T19:42:00Z</dcterms:created>
  <dcterms:modified xsi:type="dcterms:W3CDTF">2019-06-06T19:42:00Z</dcterms:modified>
</cp:coreProperties>
</file>