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F1" w:rsidRDefault="007D79F1" w:rsidP="007D79F1">
      <w:pPr>
        <w:spacing w:before="0" w:after="150" w:line="240" w:lineRule="auto"/>
        <w:jc w:val="both"/>
        <w:rPr>
          <w:rFonts w:ascii="Times New Roman" w:eastAsia="Times New Roman" w:hAnsi="Times New Roman" w:cs="Times New Roman"/>
          <w:color w:val="565656"/>
          <w:sz w:val="23"/>
          <w:szCs w:val="23"/>
        </w:rPr>
      </w:pPr>
      <w:r w:rsidRPr="007D79F1">
        <w:fldChar w:fldCharType="begin"/>
      </w:r>
      <w:r w:rsidRPr="007D79F1">
        <w:instrText xml:space="preserve"> HYPERLINK "https://professoraantonieta.com.br/destaques/tcu-2/edital/numero-restrito-de-servidores-justificativa-para-fazer-licitacao-por-lote/" </w:instrText>
      </w:r>
      <w:r w:rsidRPr="007D79F1">
        <w:fldChar w:fldCharType="separate"/>
      </w:r>
      <w:r w:rsidRPr="007D79F1">
        <w:rPr>
          <w:color w:val="0000FF"/>
          <w:u w:val="single"/>
        </w:rPr>
        <w:t>https://professoraantonieta.com.br/destaques/tcu-2/edital/numero-restrito-de-servidores-justificativa-para-fazer-licitacao-por-lote/</w:t>
      </w:r>
      <w:r w:rsidRPr="007D79F1">
        <w:fldChar w:fldCharType="end"/>
      </w:r>
    </w:p>
    <w:p w:rsidR="007D79F1" w:rsidRPr="00D75311" w:rsidRDefault="007D79F1" w:rsidP="007D79F1">
      <w:pPr>
        <w:spacing w:before="0" w:after="150" w:line="240" w:lineRule="auto"/>
        <w:jc w:val="both"/>
        <w:rPr>
          <w:rFonts w:ascii="Times New Roman" w:eastAsia="Times New Roman" w:hAnsi="Times New Roman" w:cs="Times New Roman"/>
          <w:color w:val="565656"/>
          <w:sz w:val="23"/>
          <w:szCs w:val="23"/>
          <w:highlight w:val="yellow"/>
        </w:rPr>
      </w:pPr>
      <w:r w:rsidRPr="00D75311">
        <w:rPr>
          <w:rFonts w:ascii="Times New Roman" w:eastAsia="Times New Roman" w:hAnsi="Times New Roman" w:cs="Times New Roman"/>
          <w:color w:val="565656"/>
          <w:sz w:val="23"/>
          <w:szCs w:val="23"/>
          <w:highlight w:val="yellow"/>
        </w:rPr>
        <w:t>ACÓRDÃO Nº 2796/2013 – TCU – Plenário</w:t>
      </w:r>
    </w:p>
    <w:p w:rsidR="007D79F1" w:rsidRPr="007D79F1" w:rsidRDefault="007D79F1" w:rsidP="007D79F1">
      <w:pPr>
        <w:spacing w:before="0" w:after="150" w:line="240" w:lineRule="auto"/>
        <w:jc w:val="both"/>
        <w:rPr>
          <w:rFonts w:ascii="Times New Roman" w:eastAsia="Times New Roman" w:hAnsi="Times New Roman" w:cs="Times New Roman"/>
          <w:color w:val="565656"/>
          <w:sz w:val="23"/>
          <w:szCs w:val="23"/>
        </w:rPr>
      </w:pPr>
      <w:r w:rsidRPr="00D75311">
        <w:rPr>
          <w:rFonts w:ascii="Times New Roman" w:eastAsia="Times New Roman" w:hAnsi="Times New Roman" w:cs="Times New Roman"/>
          <w:color w:val="565656"/>
          <w:sz w:val="23"/>
          <w:szCs w:val="23"/>
          <w:highlight w:val="yellow"/>
        </w:rPr>
        <w:t>A adjudicação por grupo ou lote não é, em princípio, irregular. A Administração, de acordo com sua capacidade e suas necessidades administrativas e operacionais, deve sopesar e optar, motivadamente, acerca da quantidade de contratos decorrentes da licitação a serem gerenciados</w:t>
      </w:r>
      <w:r w:rsidRPr="007D79F1">
        <w:rPr>
          <w:rFonts w:ascii="Times New Roman" w:eastAsia="Times New Roman" w:hAnsi="Times New Roman" w:cs="Times New Roman"/>
          <w:color w:val="565656"/>
          <w:sz w:val="23"/>
          <w:szCs w:val="23"/>
        </w:rPr>
        <w:t>.</w:t>
      </w:r>
    </w:p>
    <w:p w:rsidR="007D79F1" w:rsidRPr="007D79F1" w:rsidRDefault="007D79F1" w:rsidP="007D79F1">
      <w:pPr>
        <w:spacing w:before="0" w:after="150" w:line="240" w:lineRule="auto"/>
        <w:jc w:val="both"/>
        <w:rPr>
          <w:rFonts w:ascii="Times New Roman" w:eastAsia="Times New Roman" w:hAnsi="Times New Roman" w:cs="Times New Roman"/>
          <w:color w:val="565656"/>
          <w:sz w:val="23"/>
          <w:szCs w:val="23"/>
        </w:rPr>
      </w:pPr>
      <w:r w:rsidRPr="007D79F1">
        <w:rPr>
          <w:rFonts w:ascii="Times New Roman" w:eastAsia="Times New Roman" w:hAnsi="Times New Roman" w:cs="Times New Roman"/>
          <w:color w:val="565656"/>
          <w:sz w:val="23"/>
          <w:szCs w:val="23"/>
        </w:rPr>
        <w:t>Representação relativa a pregão eletrônico realizado pela (…) para registro de preços, destinado à aquisição de kits escolares, apontara, dentre outras irregularidades, “a adjudicação pelo menor preço por grupo de itens ou por módulo escolar, quando deveria ser por item que compõe cada grupo …”.</w:t>
      </w:r>
    </w:p>
    <w:p w:rsidR="007D79F1" w:rsidRPr="007D79F1" w:rsidRDefault="007D79F1" w:rsidP="007D79F1">
      <w:pPr>
        <w:spacing w:before="0" w:after="150" w:line="240" w:lineRule="auto"/>
        <w:jc w:val="both"/>
        <w:rPr>
          <w:rFonts w:ascii="Times New Roman" w:eastAsia="Times New Roman" w:hAnsi="Times New Roman" w:cs="Times New Roman"/>
          <w:color w:val="565656"/>
          <w:sz w:val="23"/>
          <w:szCs w:val="23"/>
        </w:rPr>
      </w:pPr>
      <w:r w:rsidRPr="007D79F1">
        <w:rPr>
          <w:rFonts w:ascii="Times New Roman" w:eastAsia="Times New Roman" w:hAnsi="Times New Roman" w:cs="Times New Roman"/>
          <w:color w:val="565656"/>
          <w:sz w:val="23"/>
          <w:szCs w:val="23"/>
        </w:rPr>
        <w:t> Em suas justificativas, a (…) defendeu que “individualizar a compra de cada item do kit sobrecarrega a administração pública e encarece o produto final, enquanto que, se o objeto é o próprio kit, os licitantes possuem margem de negociação maior por estarem comercializando grandes quantidades e variedades de material escolar”. O relator, acolhendo essa tese, registrou que a “adjudicação por grupo ou lote não pode ser tida, em princípio, como irregular. É cediço que a Súmula nº 247 do TCU estabelece que as compras devam ser realizadas por item e não por preço global, sempre que não haja prejuízo para o conjunto ou perda da economia de escala. Mas a perspectiva de administrar inúmeros contratos por um corpo de servidores reduzido pode se enquadrar, em nossa visão, na exceção prevista na Súmula nº 247, de que haveria prejuízo para o conjunto dos bens a serem adquiridos”. Acrescentou que “a Administração deve sopesar, no caso concreto, as consequências da multiplicação de contratos que poderiam estar resumidos em um só, optando, então, de acordo com suas necessidades administrativas e operacionais, pelo gerenciamento de um só contrato com todos os itens ou de um para cada fornecedor”.</w:t>
      </w:r>
    </w:p>
    <w:p w:rsidR="007D79F1" w:rsidRPr="007D79F1" w:rsidRDefault="007D79F1" w:rsidP="007D79F1">
      <w:pPr>
        <w:spacing w:before="0" w:after="150" w:line="240" w:lineRule="auto"/>
        <w:jc w:val="both"/>
        <w:rPr>
          <w:rFonts w:ascii="Times New Roman" w:eastAsia="Times New Roman" w:hAnsi="Times New Roman" w:cs="Times New Roman"/>
          <w:color w:val="565656"/>
          <w:sz w:val="23"/>
          <w:szCs w:val="23"/>
        </w:rPr>
      </w:pPr>
      <w:r w:rsidRPr="007D79F1">
        <w:rPr>
          <w:rFonts w:ascii="Times New Roman" w:eastAsia="Times New Roman" w:hAnsi="Times New Roman" w:cs="Times New Roman"/>
          <w:color w:val="565656"/>
          <w:sz w:val="23"/>
          <w:szCs w:val="23"/>
        </w:rPr>
        <w:t> Em relação ao alcance da Súmula 247 do TCU, destacou, amparado em deliberação do Tribunal, que ela pretendeu “consolidar o entendimento prevalecente nesta Casa, no sentido de que é condenável a adjudicação por preço global, por representar, no geral, restrição à competitividade. Não teve a referida Súmula a pretensão de condenar a adjudicação por lotes …”. Ponderou, contudo, que restou ausente nos autos a devida motivação para a opção eleita. O Tribunal, ao acolher o juízo de mérito formulado pelo relator, julgou parcialmente procedente a Representação e, confirmando a medida cautelar previamente adotada no processo, determinou que a (…), na condição de órgão participante da mencionada ata de registro de preço, se abstivesse “de realizar novas contratações com recursos federais, inclusive recursos do (…), já que há complementação da União”. TC 006.235/2013-1, relator Ministro José Jorge, 16.10.2013.</w:t>
      </w:r>
    </w:p>
    <w:p w:rsidR="007D79F1" w:rsidRDefault="007D79F1" w:rsidP="00F817CE">
      <w:pPr>
        <w:rPr>
          <w:color w:val="0000FF"/>
          <w:u w:val="single"/>
        </w:rPr>
      </w:pPr>
    </w:p>
    <w:p w:rsidR="00FF099B" w:rsidRDefault="00D75311" w:rsidP="00F817CE">
      <w:hyperlink r:id="rId8" w:history="1">
        <w:r w:rsidR="00FF099B" w:rsidRPr="00FF099B">
          <w:rPr>
            <w:color w:val="0000FF"/>
            <w:u w:val="single"/>
          </w:rPr>
          <w:t>https://portal.tcu.gov.br/lumis/portal/file/fileDownload.jsp?fileId=8A8182A24D6E86A4014D72AC81CA540A&amp;inline=1</w:t>
        </w:r>
      </w:hyperlink>
    </w:p>
    <w:p w:rsidR="00FF099B" w:rsidRDefault="00FF099B" w:rsidP="00F817CE">
      <w:r>
        <w:t>ORIENTAÇÕES E JURISPRUDÊNCIAS DO TCU</w:t>
      </w:r>
    </w:p>
    <w:p w:rsidR="00FF099B" w:rsidRDefault="00F817CE" w:rsidP="00F817CE">
      <w:r>
        <w:t xml:space="preserve">DELIBERAÇÕES DO TCU </w:t>
      </w:r>
    </w:p>
    <w:p w:rsidR="00977279" w:rsidRDefault="00F817CE" w:rsidP="00F817CE">
      <w:r w:rsidRPr="00D75311">
        <w:rPr>
          <w:highlight w:val="yellow"/>
        </w:rPr>
        <w:lastRenderedPageBreak/>
        <w:t>Na aferição da viabilidade econômica de fracionamento do objeto a ser licitado, os custos de administração dos futuros contratos devem ser cotejados com os custos econômicos das contratações, a fim de que se apurem, de forma global, as vantagens ou desvantagens para o poder público nas hipóteses de cisão ou não. Acórdão 677/2008 Plenário (Sumário) Um dos requisitos para que se caracterize o fracionamento de despesas é que os objetos licitados separadamente pudessem ser realizados concomitantemente. Acórdão 935/2007 Plenário (Sumário</w:t>
      </w:r>
      <w:proofErr w:type="gramStart"/>
      <w:r w:rsidRPr="00D75311">
        <w:rPr>
          <w:highlight w:val="yellow"/>
        </w:rPr>
        <w:t>) Planeje</w:t>
      </w:r>
      <w:proofErr w:type="gramEnd"/>
      <w:r w:rsidRPr="00D75311">
        <w:rPr>
          <w:highlight w:val="yellow"/>
        </w:rPr>
        <w:t xml:space="preserve"> a atividade de compras, de modo a evitar o fracionamento na aquisição de produtos de igual natureza e possibilitando a utilização da correta modalidade de licitação, nos termos do art. 15, § 7º, II, da Lei nº 8.666/1993. Acórdão 2575/2009 Plenário Planeje adequadamente as compras e a contratação de serviços durante o exercício financeiro, de forma a evitar a prática de fracionamento de despesas. Acórdão 324/2009 Plenário No Voto que fundamentou o Acórdão nº 1946/2006 Plenário, o Relator Marcos </w:t>
      </w:r>
      <w:proofErr w:type="spellStart"/>
      <w:r w:rsidRPr="00D75311">
        <w:rPr>
          <w:highlight w:val="yellow"/>
        </w:rPr>
        <w:t>Bemquerer</w:t>
      </w:r>
      <w:proofErr w:type="spellEnd"/>
      <w:r w:rsidRPr="00D75311">
        <w:rPr>
          <w:highlight w:val="yellow"/>
        </w:rPr>
        <w:t xml:space="preserve"> Costa já trazia comentário de Marçal </w:t>
      </w:r>
      <w:proofErr w:type="spellStart"/>
      <w:r w:rsidRPr="00D75311">
        <w:rPr>
          <w:highlight w:val="yellow"/>
        </w:rPr>
        <w:t>Justen</w:t>
      </w:r>
      <w:proofErr w:type="spellEnd"/>
      <w:r w:rsidRPr="00D75311">
        <w:rPr>
          <w:highlight w:val="yellow"/>
        </w:rPr>
        <w:t xml:space="preserve"> Filho (in Comentários à Lei de Licitações e Contratos Administrativos. 10. ed. São Paulo: Dialética, 2004. p. 209), afirmando que “O fracionamento em lotes deve respeitar a integridade qualitativa do objeto a ser executado. Não é possível desnaturar um certo objeto, fragmentando-o em contratações diversas e que importam o risco de impossibilidade de execução </w:t>
      </w:r>
      <w:proofErr w:type="gramStart"/>
      <w:r w:rsidRPr="00D75311">
        <w:rPr>
          <w:highlight w:val="yellow"/>
        </w:rPr>
        <w:t>satisfatória</w:t>
      </w:r>
      <w:r>
        <w:t>.”</w:t>
      </w:r>
      <w:proofErr w:type="gramEnd"/>
      <w:r>
        <w:t xml:space="preserve"> Sob esse prisma, não vejo como se possa atribuir equívoco à interpretação dos técnicos do Senado de que os serviços previstos no contrato são na sua maioria interdependentes, mesmo porque relativos a uma única obra “a reforma do Edifício-Sede (...)” cuja unidade não pode ser desfeita. Para a unidade técnica, “embora relacionados entre si, por se constituírem partes de um mesmo empreendimento, a maior parte dos serviços inclusos no objeto do certame mantêm-se independentes e autônomos, razão pela qual não se justifica a consolidação em um único contrato”. Tenho opinião diferente. Ainda que alguns dos serviços, como as instalações de sistemas de controle de acesso e de Circuito Fechado de TV (CFTV), possam em princípio ser realizados de forma autônoma, não parece recomendável a contratação de várias empresas para executar de forma independente, 107 Licitações e Contratos - </w:t>
      </w:r>
      <w:r>
        <w:lastRenderedPageBreak/>
        <w:t xml:space="preserve">Orientações e Jurisprudência do TCU concomitantemente ou em etapas distintas, a parte civil da reforma e as instalações elétricas, </w:t>
      </w:r>
      <w:proofErr w:type="spellStart"/>
      <w:r>
        <w:t>hidrossanitárias</w:t>
      </w:r>
      <w:proofErr w:type="spellEnd"/>
      <w:r>
        <w:t xml:space="preserve"> e rede estruturada, por exemplo, podendo disso resultar prejuízo ao conjunto. Sem dúvida, existem razões técnicas suficientes a demonstrar que a execução da obra em questão de forma integralizada, por um só particular, mostra-se mais satisfatória do que se fosse efetuada por vários particulares, evitando-se a mistura de procedimentos e de responsabilidades. Dito isso, tenho claro que a adjudicação por item de que fala a Súmula 247 do TCU não seria o melhor caminho a ser seguido nesta contratação, cujos elementos técnicos condizem com o seu não-parcelamento, lembrando </w:t>
      </w:r>
      <w:proofErr w:type="spellStart"/>
      <w:r>
        <w:t>qua</w:t>
      </w:r>
      <w:proofErr w:type="spellEnd"/>
      <w:r>
        <w:t xml:space="preserve"> particularidade de a obra ser realizada sem a interrupção das atividades do (...), em horários estabelecidos de modo a não prejudicar o desempenho dessas atividades, reforçam ainda mais a necessidade de concentração da fiscalização e gerenciamento da obra. De todo modo, cabe registrar que não restou de fato demonstrada a vantagem da inclusão no contrato de serviços como controle de acesso e CFTV, que, conforme já mencionado, poderiam em princípio ser realizados de forma autônoma, mediante licitação e contratação independentes. </w:t>
      </w:r>
      <w:r w:rsidRPr="00D75311">
        <w:rPr>
          <w:highlight w:val="yellow"/>
        </w:rPr>
        <w:t xml:space="preserve">Acórdão 2864/2008 Plenário (Voto do Ministro Relator) Abstenha-se de realizar procedimentos licitatórios, mediante fracionamento de despesa, sem que a modalidade de licitação escolhida tenha permitido, comprovadamente, o melhor aproveitamento dos recursos disponíveis no mercado e a ampliação da competitividade sem perda da economia de escala, nos termos do § 1º do art. 23 da Lei nº 8.666/1993, nos moldes dos </w:t>
      </w:r>
      <w:proofErr w:type="spellStart"/>
      <w:r w:rsidRPr="00D75311">
        <w:rPr>
          <w:highlight w:val="yellow"/>
        </w:rPr>
        <w:t>arts</w:t>
      </w:r>
      <w:proofErr w:type="spellEnd"/>
      <w:r w:rsidRPr="00D75311">
        <w:rPr>
          <w:highlight w:val="yellow"/>
        </w:rPr>
        <w:t>. 2º e 23, § 2º, parte final. Acórdão 2387/2007 Plenário Realize o planejamento prévio dos gastos anuais, de modo a evitar o fracionamento de despesas de mesma natureza, observando que o valor limite para as modalidades licitatórias é cumulativo ao longo do exercício financeiro, a fim de não extrapolar os limites estabelecidos nos artigos 23, § 2°, e 24, inciso II, da Lei nº 8.666/1993. Acórdão 1084/2007 Plenário O art. 23, §§ 1º e 2º, da Lei nº 8.666/1993 traz permissão para a adoção de ambas as alternativas suscitadas (realização de uma única licitação com adjudicação por itens ou realização de licitações distintas), deixando à discricionariedade do gestor escolher a opção mais conveniente</w:t>
      </w:r>
      <w:r>
        <w:t xml:space="preserve">. Não obstante </w:t>
      </w:r>
      <w:r>
        <w:lastRenderedPageBreak/>
        <w:t xml:space="preserve">esse aspecto foi observado pela unidade técnica que a realização de seis licitações distintas traria vantagens à Administração, uma vez que os problemas ocorridos em um certame, como a paralisação em face da interposição de recursos, não Tribunal de Contas da União 108 afetariam os demais e, </w:t>
      </w:r>
      <w:proofErr w:type="spellStart"/>
      <w:r>
        <w:t>conseqüentemente</w:t>
      </w:r>
      <w:proofErr w:type="spellEnd"/>
      <w:r>
        <w:t xml:space="preserve">, evitar-se-ia que o Ministério corresse o risco de ver obstaculizada a prestação da totalidade dos serviços. </w:t>
      </w:r>
      <w:r w:rsidRPr="00D75311">
        <w:rPr>
          <w:highlight w:val="yellow"/>
        </w:rPr>
        <w:t>Acórdão 667/2005 Plenário (Voto do Ministro Relator</w:t>
      </w:r>
      <w:proofErr w:type="gramStart"/>
      <w:r w:rsidRPr="00D75311">
        <w:rPr>
          <w:highlight w:val="yellow"/>
        </w:rPr>
        <w:t>) Planeje</w:t>
      </w:r>
      <w:proofErr w:type="gramEnd"/>
      <w:r w:rsidRPr="00D75311">
        <w:rPr>
          <w:highlight w:val="yellow"/>
        </w:rPr>
        <w:t xml:space="preserve"> adequadamente as compras e as contratações de serviços durante o exercício financeiro, de modo a evitar a prática de fracionamento de despesa, observando os limites para aplicação das modalidades de licitação previstos no art. 23 da Lei n. 8.666/1993. Acórdão 589/2010 Primeira Câmara Evite o fracionamento de despesa com a utilização de dispensa de licitação indevidamente fundamentada no art. 24, inciso II, da Lei nº 8.666/1993, uma vez que o montante das despesas previstas e contínuas realizadas no decorrer do exercício, a exemplo das aquisições de material de expediente, de consumo e de gêneros alimentícios, extrapola o limite de dispensa de licitação. Acórdão 2090/2006 Primeira Câmara Realize planejamento de compras a fim de que possam ser feitas aquisições de produtos de mesma natureza de uma só vez, pela modalidade de licitação compatível com a estimativa da totalidade do valor a ser adquirido, abstendo-se de utilizar, nesses casos, o art. 24, inciso II, da Lei nº 8.666/1993 para justificar a dispensa de licitação, por se caracterizar fracionamento de despesa</w:t>
      </w:r>
      <w:r>
        <w:t xml:space="preserve">. Acórdão 367/2010 Segunda Câmara (Relação) Consulte também a </w:t>
      </w:r>
      <w:proofErr w:type="spellStart"/>
      <w:proofErr w:type="gramStart"/>
      <w:r>
        <w:t>Decisão:Plenário</w:t>
      </w:r>
      <w:proofErr w:type="spellEnd"/>
      <w:proofErr w:type="gramEnd"/>
      <w:r>
        <w:t xml:space="preserve">: 197/1997, 202/1996; os Acórdãos: Plenário: 3373/2006, 1386/2005, 82/2005, 165/2000; Primeira Câmara: 409/2009, 2337/2008, 1768/2008, 1208/2008, 2948/2006, 2057/2006, 176/2006, 107/2006, 47/2006, 3157/2004, 2528/2003; Segunda Câmara: 1046/2009, 51/2008, 211/2007, 2220/2006. </w:t>
      </w:r>
    </w:p>
    <w:p w:rsidR="00F817CE" w:rsidRDefault="00F817CE" w:rsidP="00F817CE">
      <w:r>
        <w:t xml:space="preserve">Parcelamento do Objeto da Licitação De acordo com a Lei nº 8.666/1993, é obrigatório o parcelamento quando o objeto da contratação tiver natureza divisível, desde que não haja prejuízo para o conjunto a ser licitado. Parcelamento é a divisão do objeto em partes menores e independentes. Cada parte, item, </w:t>
      </w:r>
      <w:r>
        <w:lastRenderedPageBreak/>
        <w:t>etapa ou parcela representa uma licitação isolada ou em separado. Para isso, o agente público deve, após definido o objeto da licitação, verificar se é possível e economicamente viável licitá-lo em parcelas (itens, lotes ou etapas) que aproveitem as peculiaridades e os recursos disponíveis no mercado. É o caso, por exemplo, de uma construção que pode ser assim dividida: limpeza do terreno, terraplenagem, fundações, instalações hidráulica e elétrica, alvenaria, acabamento, paisagismo.</w:t>
      </w:r>
    </w:p>
    <w:p w:rsidR="00F817CE" w:rsidRDefault="00F817CE" w:rsidP="00F817CE">
      <w:r>
        <w:t xml:space="preserve">Impõe-se o parcelamento, quando existir parcela de natureza específica que possa ser executada por empresas com especialidades próprias ou diversas e for viável técnica e economicamente. Deve em qualquer caso </w:t>
      </w:r>
      <w:proofErr w:type="gramStart"/>
      <w:r>
        <w:t>apresentar-se</w:t>
      </w:r>
      <w:proofErr w:type="gramEnd"/>
      <w:r>
        <w:t xml:space="preserve"> vantajoso para a Administração. Compras, obras ou serviços efetuados pela Administração serão divididos em tantos itens, parcelas e etapas que se comprovem técnica e economicamente viáveis, procedendo-se à licitação com vistas ao melhor aproveitamento dos recursos disponíveis no mercado, sem perda da economia de escala. Após avaliação técnica e decisão de que o objeto pode ser dividido e individualizado em partes menores, devem ser realizadas licitações distintas para cada de compra, obra ou serviço, ou conjunto desses (ou para conjunto de itens, etapas ou parcelas). A critério da Administração, essas licitações podem ser feitas em procedimentos distintos ou em um só processo licitatório. Parcelamento do objeto subordina-se especialmente aos princípios da economicidade e da ampliação da competitividade. Deve o gestor atentar-se para que o parcelamento seja realizado somente em benefício da Administração. Divisão do objeto que não observe economia de escala poderá produzir efeito contrário, ou seja, aumento de preços. É permitida cotação de quantidade inferior à demandada no ato convocatório. É importante não esquecer que sempre deve ser preservada a modalidade pertinente para a execução de todo o objeto da contratação. Devem ser somados os valores correspondentes aos itens parcelados e definida a modalidade de licitação adequada ao total. Após, deverão ser realizados tantos processos licitatórios quantos forem necessários. Assim, se a totalidade da despesa de um objeto parcelado apontar para a modalidade </w:t>
      </w:r>
      <w:r>
        <w:lastRenderedPageBreak/>
        <w:t>concorrência, poderá o gestor, por exemplo, fazer um só procedimento com todas as parcelas (itens ou etapas); ou realizar um processo, em separado, para cada parte da divisão resultante do parcelamento. É certo que o parcelamento de objeto divisível poderá ampliar o universo de fornecedores. Todavia, deve o gestor atentar-se para que o resultado não traga prejuízo para o conjunto ou complexo. É fundamental que a Administração fixe no ato convocatório quantitativos mínimos que preservem a economia de escala. Deve-se resguardar a economia de escala especialmente porque o custo do produto é absorvido pela quantidade produzida. Por isso, quanto mais unidades adquiridas menor poderá ser o preço pago pela Administração, observado o chamado custo zero.</w:t>
      </w:r>
    </w:p>
    <w:p w:rsidR="00F817CE" w:rsidRDefault="00F817CE" w:rsidP="00F817CE">
      <w:r w:rsidRPr="00D75311">
        <w:rPr>
          <w:highlight w:val="yellow"/>
        </w:rPr>
        <w:t>LEMBRE-SE: Parcelamento refere-se à divisão do objeto em parcelas (itens ou etapas), ou seja, em partes menores e independentes. Difere-se de fracionamento, que se relaciona à divisão da despesa para adoção de dispensa ou modalidade de licitação menos rigorosa que a determinada para a totalidade do valor do objeto a ser licitado. Em certames para aquisição de bens e serviços de natureza divisível, a Administração Pública poderá estabelecer cota de até 25% do objeto licitado para a contratação de microempresas e empresas de pequeno porte, nos termos do previsto Lei Complementar nº 123/2006.</w:t>
      </w:r>
      <w:r>
        <w:t xml:space="preserve"> Nada obstante, essa cota apenas poderá ser instituída quando: • existir regulamentação específica na esfera legislativa para o ente no qual se insere o órgão ou entidade contratante; • for expressamente prevista no ato convocatório; • for vantajosa para a Administração e não representar prejuízo para o conjunto do objeto a ser contratado; Tribunal de Contas da União 228 • houver, no mínimo, três fornecedores </w:t>
      </w:r>
      <w:proofErr w:type="spellStart"/>
      <w:r>
        <w:t>co</w:t>
      </w:r>
      <w:proofErr w:type="spellEnd"/>
      <w:r>
        <w:t xml:space="preserve">• houver, no mínimo, três fornecedores competitivos enquadrados como microempresas ou empresas de pequeno porte sediados no local ou na região e com capacidade para cumprir as exigências estabelecidas no edital; • não exceder o valor licitado a 25% do total realizado em cada exercício; • não se enquadrar nos casos de dispensa e inexigibilidade de licitação previstos nos </w:t>
      </w:r>
      <w:proofErr w:type="spellStart"/>
      <w:r>
        <w:t>arts</w:t>
      </w:r>
      <w:proofErr w:type="spellEnd"/>
      <w:r>
        <w:t xml:space="preserve">. 24 e 25 da Lei nº 8.666/1993. DELIBERAÇÕES DO TCU A contratação de sistema informatizado e dos correspondentes serviços continuados de </w:t>
      </w:r>
      <w:r>
        <w:lastRenderedPageBreak/>
        <w:t xml:space="preserve">manutenção pós-garantia devem ser licitados ou adjudicados de forma separada, sempre que esse parcelamento for viável técnica e economicamente e os dois objetos admitirem fornecedores distintos, nos termos do art. 23, §1º, da Lei 8.666/1993. </w:t>
      </w:r>
      <w:r w:rsidRPr="00D75311">
        <w:rPr>
          <w:highlight w:val="yellow"/>
        </w:rPr>
        <w:t>Acórdão 1491/2009 Plenário (Sumário</w:t>
      </w:r>
      <w:proofErr w:type="gramStart"/>
      <w:r w:rsidRPr="00D75311">
        <w:rPr>
          <w:highlight w:val="yellow"/>
        </w:rPr>
        <w:t>) Em</w:t>
      </w:r>
      <w:proofErr w:type="gramEnd"/>
      <w:r w:rsidRPr="00D75311">
        <w:rPr>
          <w:highlight w:val="yellow"/>
        </w:rPr>
        <w:t xml:space="preserve"> consonância com o disposto nos </w:t>
      </w:r>
      <w:proofErr w:type="spellStart"/>
      <w:r w:rsidRPr="00D75311">
        <w:rPr>
          <w:highlight w:val="yellow"/>
        </w:rPr>
        <w:t>arts</w:t>
      </w:r>
      <w:proofErr w:type="spellEnd"/>
      <w:r w:rsidRPr="00D75311">
        <w:rPr>
          <w:highlight w:val="yellow"/>
        </w:rPr>
        <w:t>. 3º, § 1º, inciso I, e 23, §§ 1º e 2º, da Lei nº 8.666/1993, incumbe ao gestor promover o parcelamento do objeto a ser licitado com vistas ao melhor aproveitamento dos recursos disponíveis no mercado e à ampliação da competitividade, ou, na impossibilidade técnica e econômica de fazê-lo, apresentar justificativas fundamentadas nos autos do procedimento licitatório. Acórdão 839/2009 Plenário (Sumário) O parcelamento do objeto licitado deve ocorrer quando a opção se comprovar viável do ponto de vista técnico-econômico, nos termos do art. 23, § 1º, da Lei nº 8.666/1993. Não caracteriza cerceamento de competitividade a realização de uma só licitação com objetos múltiplos, se comprovado que o parcelamento implicaria perda de eficiência e prejuízo técnico à Administração. Acórdão 3041/2008 Plenário (Sumário) A divisão da contratação da obra em itens não deve comprometer a sua satisfatória execução e a integridade do seu conjunto. Acórdão 2864/2008 Plenário (Sumário</w:t>
      </w:r>
      <w:proofErr w:type="gramStart"/>
      <w:r w:rsidRPr="00D75311">
        <w:rPr>
          <w:highlight w:val="yellow"/>
        </w:rPr>
        <w:t>) Se</w:t>
      </w:r>
      <w:proofErr w:type="gramEnd"/>
      <w:r w:rsidRPr="00D75311">
        <w:rPr>
          <w:highlight w:val="yellow"/>
        </w:rPr>
        <w:t xml:space="preserve"> o parcelamento das obras, no caso concreto, mostra-se prejudicial ao gerenciamento dos serviços, é admissível a realização de licitação única para contratação da execução de todas as etapas que compõem o empreendimento. Acórdão 678/2008 Plenário (Sumário) O parcelamento do objeto da licitação é obrigatório quando técnica e economicamente viável, devendo a Administração, em qualquer caso, fundamentar sua opção. Acórdão 2389/2007 Plenário (Sumário</w:t>
      </w:r>
      <w:proofErr w:type="gramStart"/>
      <w:r w:rsidRPr="00D75311">
        <w:rPr>
          <w:highlight w:val="yellow"/>
        </w:rPr>
        <w:t>) Os</w:t>
      </w:r>
      <w:proofErr w:type="gramEnd"/>
      <w:r w:rsidRPr="00D75311">
        <w:rPr>
          <w:highlight w:val="yellow"/>
        </w:rPr>
        <w:t xml:space="preserve"> privilégios concedidos às microempresas e empresas de pequeno porte pelos </w:t>
      </w:r>
      <w:proofErr w:type="spellStart"/>
      <w:r w:rsidRPr="00D75311">
        <w:rPr>
          <w:highlight w:val="yellow"/>
        </w:rPr>
        <w:t>arts</w:t>
      </w:r>
      <w:proofErr w:type="spellEnd"/>
      <w:r w:rsidRPr="00D75311">
        <w:rPr>
          <w:highlight w:val="yellow"/>
        </w:rPr>
        <w:t xml:space="preserve">. 44 e 45 da Lei Complementar nº 123/2006 independem da existência de previsão </w:t>
      </w:r>
      <w:proofErr w:type="spellStart"/>
      <w:r w:rsidRPr="00D75311">
        <w:rPr>
          <w:highlight w:val="yellow"/>
        </w:rPr>
        <w:t>editalícia</w:t>
      </w:r>
      <w:proofErr w:type="spellEnd"/>
      <w:r w:rsidRPr="00D75311">
        <w:rPr>
          <w:highlight w:val="yellow"/>
        </w:rPr>
        <w:t>. Acórdão 2144/2007 Plenário (Sumário)</w:t>
      </w:r>
      <w:r>
        <w:t xml:space="preserve"> Não constitui necessariamente falha no dever de parcelar o objeto da licitação a reunião em um mesmo procedimento licitatório de serviços de manutenção de redes vinculadas a mídias eletrônicas diversas, e dos respectivos equipamentos, que, no entanto, apresentam aspectos comuns que justifiquem o tratamento conjunto, tais quais a proximidade física e tecnológica, as dimensões, etc., não </w:t>
      </w:r>
      <w:r>
        <w:lastRenderedPageBreak/>
        <w:t>havendo, ademais, comprovação robusta de que o parcelamento levará a uma maior economicidade na prestação dos serviços. Acórdão 1904/2007 Plenário (Sumário</w:t>
      </w:r>
      <w:proofErr w:type="gramStart"/>
      <w:r>
        <w:t xml:space="preserve">) </w:t>
      </w:r>
      <w:r w:rsidRPr="00D75311">
        <w:rPr>
          <w:highlight w:val="yellow"/>
        </w:rPr>
        <w:t>É</w:t>
      </w:r>
      <w:proofErr w:type="gramEnd"/>
      <w:r w:rsidRPr="00D75311">
        <w:rPr>
          <w:highlight w:val="yellow"/>
        </w:rPr>
        <w:t xml:space="preserve"> obrigatório o parcelamento do objeto, quando este tem natureza divisível, em tantas parcelas quantas se comprovarem técnica e economicamente viáveis, visando ao melhor aproveitamento dos recursos disponíveis no mercado e à ampliação da competitividade. Acórdão 1842/2007 Plenário (Sumário</w:t>
      </w:r>
      <w:proofErr w:type="gramStart"/>
      <w:r w:rsidRPr="00D75311">
        <w:rPr>
          <w:highlight w:val="yellow"/>
        </w:rPr>
        <w:t>) É</w:t>
      </w:r>
      <w:proofErr w:type="gramEnd"/>
      <w:r w:rsidRPr="00D75311">
        <w:rPr>
          <w:highlight w:val="yellow"/>
        </w:rPr>
        <w:t xml:space="preserve"> indevida a realização de licitações distintas para a contratação de serviços de igual natureza, ainda que em locais diversos, quando os potenciais interessados são os mesmos, por contrariar o art. 23, § 5º, da Lei nº 8.666/1993. Acórdão 1780/2007 Plenário (Sumário) Sempre que possível, é recomendável a divisão do objeto e a aceitação da participação de consórcios em licitação para contratação de serviços de manutenção predial, a fim de viabilizar a participação de maior número de interessados e de selecionar a proposta mais vantajosa. Acórdão 1104/2007 Plenário (Sumário</w:t>
      </w:r>
      <w:proofErr w:type="gramStart"/>
      <w:r w:rsidRPr="00D75311">
        <w:rPr>
          <w:highlight w:val="yellow"/>
        </w:rPr>
        <w:t>)</w:t>
      </w:r>
      <w:r>
        <w:t xml:space="preserve"> Em</w:t>
      </w:r>
      <w:proofErr w:type="gramEnd"/>
      <w:r>
        <w:t xml:space="preserve"> respeito ao princípio do parcelamento, a definição de itens deve ser clara, explicitando-se, inclusive, a possibilidade de cotação para um único item. Acórdão 531/2007 Plenário (Sumário</w:t>
      </w:r>
      <w:proofErr w:type="gramStart"/>
      <w:r>
        <w:t>) Analise e faça</w:t>
      </w:r>
      <w:proofErr w:type="gramEnd"/>
      <w:r>
        <w:t xml:space="preserve"> constar do processo licitatório documento ou arrazoado que demonstre a inviabilidade técnica do parcelamento dos itens do certame, identificando as diferentes soluções e alternativas de mercado, conforme preconiza o art. 10, inciso IV, da Ida Instrução Normativa SLTI nº 04/2008.</w:t>
      </w:r>
      <w:r w:rsidRPr="00F817CE">
        <w:t xml:space="preserve"> </w:t>
      </w:r>
      <w:r>
        <w:t xml:space="preserve">Acórdão 280/2010 Plenário Por fim, com relação à ausência do parcelamento dos objetos das licitações, é evidente que, sendo o parcelamento uma regra, cujo cumprimento é exigido nos termos do art. 15, inciso IV e do art. 23, §§ 1º e 2º da Lei 8.666/93, deverá ser obrigatoriamente comprovada pelo gestor a inviabilidade da divisão do objeto e a realização da licitação por preço global, quando for este o caso. </w:t>
      </w:r>
      <w:r w:rsidRPr="00D75311">
        <w:rPr>
          <w:highlight w:val="yellow"/>
        </w:rPr>
        <w:t>Nesse sentido é a Súmula TCU 247, abaixo transcrita: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w:t>
      </w:r>
      <w:r>
        <w:t xml:space="preserve"> </w:t>
      </w:r>
      <w:r w:rsidRPr="00D75311">
        <w:rPr>
          <w:highlight w:val="yellow"/>
        </w:rPr>
        <w:lastRenderedPageBreak/>
        <w:t>da totalidade do objeto, possam fazê-lo com relação a itens ou unidades autônomas, devendo as exigências de habilitação adequar-se a essa divisibilidade.” Acórdão 262/2010 Plenário (Voto do Ministro Relator</w:t>
      </w:r>
      <w:proofErr w:type="gramStart"/>
      <w:r w:rsidRPr="00D75311">
        <w:rPr>
          <w:highlight w:val="yellow"/>
        </w:rPr>
        <w:t>) Faça</w:t>
      </w:r>
      <w:proofErr w:type="gramEnd"/>
      <w:r w:rsidRPr="00D75311">
        <w:rPr>
          <w:highlight w:val="yellow"/>
        </w:rPr>
        <w:t xml:space="preserve"> constar dos autos do processo licitatório, quando não aplicável a divisão de determinados serviços para fins de licitação, a devida justificativa quanto à inviabilidade técnico-econômica do parcelamento. Observe o disposto no art. 23, § 1º da Lei nº 8.666/1993, realizando o parcelamento do objeto, quando configurada a viabilidade técnica e econômica, com base em estudos técnicos que indiquem a alternativa de divisão que melhor atenda aos princípios da competitividade, da isonomia e da obtenção da proposta mais vantajosa para a Administração. Acórdão 2864/2008 Plenário Verifique a possibilidade de realizar licitações distintas nos casos em que o objeto for divisível, desde que não haja prejuízo para o conjunto ou perda de economia de escala, com vistas </w:t>
      </w:r>
      <w:proofErr w:type="gramStart"/>
      <w:r w:rsidRPr="00D75311">
        <w:rPr>
          <w:highlight w:val="yellow"/>
        </w:rPr>
        <w:t>à</w:t>
      </w:r>
      <w:proofErr w:type="gramEnd"/>
      <w:r w:rsidRPr="00D75311">
        <w:rPr>
          <w:highlight w:val="yellow"/>
        </w:rPr>
        <w:t xml:space="preserve"> propiciar a ampla participação de interessados, em atenção ao comando disposto no art. 23, § 1º, da Lei nº 8.666/1993. Acórdão 2717/2008 Plenário É certo que este Tribunal, na maior parte dos casos examinados, tem defendido a necessidade do parcelamento de obras, serviços e compras, com vistas à ampliação da competitividade dos certames. No entanto, há que se considerar que, a teor do disposto no art. 23, § 1º, da Lei nº 8.666/1993, o parcelamento do objeto também se condiciona à demonstração da viabilidade econômica Tribunal de Contas da União 232 e técnica, bem assim à manutenção da economia de escala, tudo objetivando a obtenção da proposta mais vantajosa para a Administração. (...)</w:t>
      </w:r>
      <w:r>
        <w:t xml:space="preserve"> Assim, considerando-se que o parcelamento é a regra, porém submetido à demonstração de que ocasionará vantagem para a Administração, e que </w:t>
      </w:r>
      <w:proofErr w:type="gramStart"/>
      <w:r>
        <w:t>novo(</w:t>
      </w:r>
      <w:proofErr w:type="gramEnd"/>
      <w:r>
        <w:t>s) certame(s) será(</w:t>
      </w:r>
      <w:proofErr w:type="spellStart"/>
      <w:r>
        <w:t>ão</w:t>
      </w:r>
      <w:proofErr w:type="spellEnd"/>
      <w:r>
        <w:t xml:space="preserve">) promovido(s) em substituição às licitações anuladas, entendo que se deva acolher a proposição da unidade técnica formulada no sentido de expedir determinações orientando quanto à necessidade de justificar formalmente a opção a ser adotada e efetuar os ajustes de planilha pertinentes. </w:t>
      </w:r>
      <w:r w:rsidRPr="00D75311">
        <w:rPr>
          <w:highlight w:val="yellow"/>
        </w:rPr>
        <w:t>Acórdão 2715/2008 Plenário (Voto do Ministro Relator</w:t>
      </w:r>
      <w:proofErr w:type="gramStart"/>
      <w:r w:rsidRPr="00D75311">
        <w:rPr>
          <w:highlight w:val="yellow"/>
        </w:rPr>
        <w:t>) Faça</w:t>
      </w:r>
      <w:proofErr w:type="gramEnd"/>
      <w:r w:rsidRPr="00D75311">
        <w:rPr>
          <w:highlight w:val="yellow"/>
        </w:rPr>
        <w:t xml:space="preserve"> constar do procedimento licitatório, sempre que não houver parcelamento do objeto, a devida justificativa quanto à inviabilidade técnica e econômica de fazê-lo, segundo o art. 23, § 1º, da </w:t>
      </w:r>
      <w:r w:rsidRPr="00D75311">
        <w:rPr>
          <w:highlight w:val="yellow"/>
        </w:rPr>
        <w:lastRenderedPageBreak/>
        <w:t xml:space="preserve">Lei nº 8.666/1993, e a Súmula nº 247 do TCU. Acórdão 2625/2008 Plenário Promova a divisão do objeto em tantos itens quanto sejam tecnicamente possíveis e suficientes, conforme o disposto no art. 23, §§ 1º e 2º, da Lei nº 8.666/1993, dando preferência à realização de licitação independente para cada item, bem assim contemplando requisitos de habilitação e critérios de avaliação da proposta técnica objetivos, relevantes e específicos para cada item, de modo a favorecer a competitividade do certame, a redução de preços, a especialização das empresas, a qualidade dos serviços e a redução de riscos estratégicos e de segurança. Acórdão 2331/2008 Plenário O TCU considerou irregularidade a ausência de exposição de motivos para a não-adoção do parcelamento do objeto, em dissonância com os termos do art. § 1º do art. 23 da Lei nº 8.666/1993. Acórdão 2170/2008 Plenário Proceda ao parcelamento da obra somente até o limite do que é </w:t>
      </w:r>
      <w:proofErr w:type="spellStart"/>
      <w:r w:rsidRPr="00D75311">
        <w:rPr>
          <w:highlight w:val="yellow"/>
        </w:rPr>
        <w:t>tectecnicamente</w:t>
      </w:r>
      <w:proofErr w:type="spellEnd"/>
      <w:r w:rsidRPr="00D75311">
        <w:rPr>
          <w:highlight w:val="yellow"/>
        </w:rPr>
        <w:t xml:space="preserve"> viável, levando em conta os princípios da economicidade, razoabilidade e eficiência. Acórdão 1849/2008 Plenário Efetue o parcelamento do objeto, de sorte a adjudicar por itens e não pelo preço global, com vistas a propiciar ampla participação dos licitantes que, embora não dispondo de capacidade para a execuçã</w:t>
      </w:r>
      <w:r w:rsidR="00D75311">
        <w:rPr>
          <w:highlight w:val="yellow"/>
        </w:rPr>
        <w:t>o da totalidade do objeto</w:t>
      </w:r>
    </w:p>
    <w:p w:rsidR="00F817CE" w:rsidRDefault="00F817CE" w:rsidP="00F817CE">
      <w:r w:rsidRPr="00D75311">
        <w:rPr>
          <w:highlight w:val="yellow"/>
        </w:rPr>
        <w:t>Acórdão 2813/2004 Primeira Câmara (Voto do Ministro Relator</w:t>
      </w:r>
      <w:proofErr w:type="gramStart"/>
      <w:r w:rsidRPr="00D75311">
        <w:rPr>
          <w:highlight w:val="yellow"/>
        </w:rPr>
        <w:t>) Aplique</w:t>
      </w:r>
      <w:proofErr w:type="gramEnd"/>
      <w:r w:rsidRPr="00D75311">
        <w:rPr>
          <w:highlight w:val="yellow"/>
        </w:rPr>
        <w:t xml:space="preserve"> nas licitações que realizar as disposições dos </w:t>
      </w:r>
      <w:proofErr w:type="spellStart"/>
      <w:r w:rsidRPr="00D75311">
        <w:rPr>
          <w:highlight w:val="yellow"/>
        </w:rPr>
        <w:t>arts</w:t>
      </w:r>
      <w:proofErr w:type="spellEnd"/>
      <w:r w:rsidRPr="00D75311">
        <w:rPr>
          <w:highlight w:val="yellow"/>
        </w:rPr>
        <w:t>. 44 e 45 da Lei Complementar nº 123/06 (Estatuto das Microempresas e Empresas de Pequeno Porte). Acórdão 4161/2009 Segunda Câmara Divida o objeto da licitação em lotes, licitando tantas parcelas quantas se comprovarem técnica e economicamente viáveis, procedendo-se dessa forma com vistas ao melhor aproveitamento dos recursos disponíveis no mercado e à ampliação da competitividade, sem perda da economia de escala, nos termos do art. 23 da Lei nº 8666/1993.</w:t>
      </w:r>
      <w:r>
        <w:t xml:space="preserve"> Acórdão 383/2010 Segunda Câmara (Relação</w:t>
      </w:r>
      <w:proofErr w:type="gramStart"/>
      <w:r>
        <w:t>) Consulte</w:t>
      </w:r>
      <w:proofErr w:type="gramEnd"/>
      <w:r>
        <w:t xml:space="preserve"> também os Acórdãos: Plenário: 2407/2006, 2376/2006, 1230/2006, 1089/2003; Primeira Câmara: 3140/2006, 564/2004; Segunda Câmara: 1913/2006.</w:t>
      </w:r>
    </w:p>
    <w:p w:rsidR="00F817CE" w:rsidRPr="00F817CE" w:rsidRDefault="00F817CE" w:rsidP="00F817CE">
      <w:r w:rsidRPr="00D75311">
        <w:rPr>
          <w:highlight w:val="yellow"/>
        </w:rPr>
        <w:t xml:space="preserve">DELIBERAÇÕES DO TCU É obrigatória a admissão da adjudicação por item e não por preço global, nos editais das licitações para a contratação de obras, </w:t>
      </w:r>
      <w:r w:rsidRPr="00D75311">
        <w:rPr>
          <w:highlight w:val="yellow"/>
        </w:rPr>
        <w:lastRenderedPageBreak/>
        <w:t>serviços, compras e alienações, cujo objeto seja divisível, desde que não haja prejuízo para o conjunto ou Tribunal de Contas da União 240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Súmula 247 A Administração deve, também, promover a divisão em lotes do objeto licitado, quando disso resultar aumento da competitividade entre interessados e for ela economicamente e tecnicamente viável. Acórdão 607/2008 Plenário (Sumário</w:t>
      </w:r>
      <w:proofErr w:type="gramStart"/>
      <w:r w:rsidRPr="00D75311">
        <w:rPr>
          <w:highlight w:val="yellow"/>
        </w:rPr>
        <w:t>) Em</w:t>
      </w:r>
      <w:proofErr w:type="gramEnd"/>
      <w:r w:rsidRPr="00D75311">
        <w:rPr>
          <w:highlight w:val="yellow"/>
        </w:rPr>
        <w:t xml:space="preserve"> sendo possível a divisão do objeto da licitação, é necessária a previsão de adjudicação por itens distintos, em vista do que preceitua os 3º, § 1º, inciso I, 15, inciso IV, e 23, §§ 1º e 2º, todos da Lei nº 8.666/1993. Acórdão 595/2007 Plenário (Sumário</w:t>
      </w:r>
      <w:proofErr w:type="gramStart"/>
      <w:r w:rsidRPr="00D75311">
        <w:rPr>
          <w:highlight w:val="yellow"/>
        </w:rPr>
        <w:t>) Divida</w:t>
      </w:r>
      <w:proofErr w:type="gramEnd"/>
      <w:r w:rsidRPr="00D75311">
        <w:rPr>
          <w:highlight w:val="yellow"/>
        </w:rPr>
        <w:t xml:space="preserve"> a licitação no maior número de lotes, sempre que for possível, de forma a conferir maior competitividade ao certame</w:t>
      </w:r>
      <w:r>
        <w:t xml:space="preserve">. </w:t>
      </w:r>
      <w:r w:rsidRPr="00D75311">
        <w:rPr>
          <w:highlight w:val="yellow"/>
        </w:rPr>
        <w:t xml:space="preserve">Acórdão 2836/2008 Plenário Proceda à </w:t>
      </w:r>
      <w:proofErr w:type="spellStart"/>
      <w:r w:rsidRPr="00D75311">
        <w:rPr>
          <w:highlight w:val="yellow"/>
        </w:rPr>
        <w:t>analise</w:t>
      </w:r>
      <w:proofErr w:type="spellEnd"/>
      <w:r w:rsidRPr="00D75311">
        <w:rPr>
          <w:highlight w:val="yellow"/>
        </w:rPr>
        <w:t xml:space="preserve"> mais detida no tocante aos agrupamentos de itens em lotes, de modo a evitar a reunião em mesmo lote de produtos que poderiam ser licitados isoladamente ou compondo lote distinto, de modo a possibilitar maior competitividade no certame e obtenção de proposta mais vantajosa para a administração, fazendo constar dos autos do procedimento o estudo que demonstre a inviabilidade técnica e/ou econômica do parcelamento; Acórdão 2410/2009 Plenário </w:t>
      </w:r>
      <w:proofErr w:type="spellStart"/>
      <w:r w:rsidRPr="00D75311">
        <w:rPr>
          <w:highlight w:val="yellow"/>
        </w:rPr>
        <w:t>Divida</w:t>
      </w:r>
      <w:proofErr w:type="spellEnd"/>
      <w:r w:rsidRPr="00D75311">
        <w:rPr>
          <w:highlight w:val="yellow"/>
        </w:rPr>
        <w:t xml:space="preserve">, em todas as contratações de TI, inclusive nas contratações diretas, os serviços e produtos em tantos itens quantos se comprovarem técnica e economicamente viáveis, com vistas a maior controle do órgão, melhor aproveitamento dos recursos disponíveis no mercado e ampliação da competitividade, sem perda da economia de escala, conforme previsto nos §§ 1º e 2º do art. 23 da Lei nº 8.666/1993. Acórdão 1330/2008 Plenário Oriente suas unidades executoras que, em decorrência do disposto nos </w:t>
      </w:r>
      <w:proofErr w:type="spellStart"/>
      <w:r w:rsidRPr="00D75311">
        <w:rPr>
          <w:highlight w:val="yellow"/>
        </w:rPr>
        <w:t>arts</w:t>
      </w:r>
      <w:proofErr w:type="spellEnd"/>
      <w:r w:rsidRPr="00D75311">
        <w:rPr>
          <w:highlight w:val="yellow"/>
        </w:rPr>
        <w:t>. 3º, § 1º, inciso I, 15, inciso IV, e 23, § 1º, da Lei nº 8.666/1993, e na Decisão 393/2004 Plenário, é obrigatória a admissão, nas licitações para a contratação de obras, serviços e compras, e para alienações, onde o objeto for de natureza divisível, sem prejuízo do conjunto ou complexo, da adjudicação por</w:t>
      </w:r>
      <w:r>
        <w:t xml:space="preserve"> </w:t>
      </w:r>
      <w:r w:rsidRPr="00D75311">
        <w:rPr>
          <w:highlight w:val="yellow"/>
        </w:rPr>
        <w:lastRenderedPageBreak/>
        <w:t xml:space="preserve">itens e não pelo preço global, com vistas a propiciar a ampla participação dos licitantes que, embora não dispondo de capacidade para a execução, fornecimento ou aquisição da totalidade do objeto, possam, contudo, fazê-lo com referência a itens ou unidades autônomas, devendo as exigências de habilitação adequarem-se a essa divisibilidade. Acórdão 935/2007 Plenário No mesmo passo, uma vez que a licitação é um procedimento formal, a entidade promotora do certame licitatório deve fixar no edital os critérios que serão utilizados visando à adjudicação dos lotes, considerando que o patrimônio líquido da licitante deverá ser suficiente para garantir a execução contratual. Nesse sentido é a determinação contida no subitem 9.3.2. </w:t>
      </w:r>
      <w:proofErr w:type="gramStart"/>
      <w:r w:rsidRPr="00D75311">
        <w:rPr>
          <w:highlight w:val="yellow"/>
        </w:rPr>
        <w:t>da</w:t>
      </w:r>
      <w:proofErr w:type="gramEnd"/>
      <w:r w:rsidRPr="00D75311">
        <w:rPr>
          <w:highlight w:val="yellow"/>
        </w:rPr>
        <w:t xml:space="preserve"> deliberação embargada, não havendo a contradição alegada pela interessada entre seus termos e aqueles do subitem 9.3.1 do Acórdão 484/2007- TCU-Plenário. No tocante à omissão apontada na definição da abrangência dos efeitos da deliberação em tela (se aplicáveis às modalidades de licitação definidas na Lei nº 8.666/93, além do pregão), observo que o teor do subitem 9.3.2. </w:t>
      </w:r>
      <w:proofErr w:type="gramStart"/>
      <w:r w:rsidRPr="00D75311">
        <w:rPr>
          <w:highlight w:val="yellow"/>
        </w:rPr>
        <w:t>é</w:t>
      </w:r>
      <w:proofErr w:type="gramEnd"/>
      <w:r w:rsidRPr="00D75311">
        <w:rPr>
          <w:highlight w:val="yellow"/>
        </w:rPr>
        <w:t xml:space="preserve"> aplicável ao pregão, modalidade examinada nos autos, uma vez que os requisitos de habilitação, nas demais modalidades licitatórias, são aferidos preliminarmente à abertura das propostas. Acórdão 868/2007 Plenário (Voto do Ministro Relator</w:t>
      </w:r>
      <w:proofErr w:type="gramStart"/>
      <w:r w:rsidRPr="00D75311">
        <w:rPr>
          <w:highlight w:val="yellow"/>
        </w:rPr>
        <w:t>) Estabeleça</w:t>
      </w:r>
      <w:proofErr w:type="gramEnd"/>
      <w:r w:rsidRPr="00D75311">
        <w:rPr>
          <w:highlight w:val="yellow"/>
        </w:rPr>
        <w:t xml:space="preserve"> no edital critérios objetivos a serem observados, visando a assegurar que somente sejam adjudicados a uma mesma empresa os lotes para os quais apresente os requisitos necessários a garantir o cumprimento das obrigações contratuais assumidas. Acórdão 484/2007 Plenário (redação dada pelo Acórdão 868/2007 Plenário) Observe, quando o objeto for de natureza divisível, o disposto no art. 9º da Lei nº 10.520/2002, no inciso IV do art. 15 e § 1º do art. 23 da Lei nº 8.666/1993, bem assim na jurisprudência deste Tribunal, quanto à obrigatoriedade da admissão da adjudicação por itens e não pelo preço global, com vistas a propiciar a ampla participação dos licitantes que</w:t>
      </w:r>
      <w:r>
        <w:t xml:space="preserve">, embora não dispondo de capacidade para a execução, fornecimento ou aquisição da totalidade do objeto, possam fazê-lo com referência a itens ou unidades autônomas. Acórdão 2407/2006 Plenário O § 1º do art. 23 da Lei nº 8.666/1993 estabelece a possibilidade de a Administração fracionar o objeto em lotes ou parcelas desde </w:t>
      </w:r>
      <w:r>
        <w:lastRenderedPageBreak/>
        <w:t>que haja viabilidade técnica e econômica. Nos termos do § 2º, o fracionamento da contratação produz a necessidade de realização de diversas licitações. O fundamento do parcelamento é, em última instância, a ampliação da competitividade que só será concretizada pela abertura de diferentes licitações. Destarte, justifica-se a exigência legal de que se realize licitação distinta para cada lote do serviço total almejado. Ademais, a realização de licitações distintas para cada parcela do serviço impede a ocorrência de distorções como a da licitação sub examine. Dessa forma, ainda que existam preços diferentes entre os lotes, não haveria a adjudicação do mesmo objeto a mais de uma empresa por preços distintos, em afronta aos princípios da razoabilidade e da isonomia. Tendo em vista que a Lei de Licitações e Contratos vedou expressamente a realização de licitação de parcelas de serviços em uma única licitação, não há solução legal que permita levar adiante o certame e adjudicar o objeto aos vencedores. Atente-se que se o objeto da licitação fosse um bem, e de natureza divisível, haveria amparo legal, no § 7º do art. 23 da Lei de Licitações e Contratos, para a realização de uma única licitação para a aquisição por intermédio de diversas empresas. Trata-se de licitação que, expressamente em seu edital, prevê a hipótese de que os licitantes apresentem propostas parciais, referentes apenas a frações do objeto total licitado</w:t>
      </w:r>
      <w:r w:rsidRPr="00D75311">
        <w:rPr>
          <w:highlight w:val="yellow"/>
        </w:rPr>
        <w:t xml:space="preserve">. Acórdão 2393/2006 Plenário (Voto do Ministro Relator) Acórdão 1745/2009 Plenário Estabeleça no instrumento convocatório quando o objeto for dividido em lotes: • requisitos de habilitação econômico-financeira (tais quais capital social e patrimônio líquido mínimo) formulados individualmente, e não em Tribunal de Contas da União </w:t>
      </w:r>
      <w:proofErr w:type="gramStart"/>
      <w:r w:rsidRPr="00D75311">
        <w:rPr>
          <w:highlight w:val="yellow"/>
        </w:rPr>
        <w:t>336 relação</w:t>
      </w:r>
      <w:proofErr w:type="gramEnd"/>
      <w:r w:rsidRPr="00D75311">
        <w:rPr>
          <w:highlight w:val="yellow"/>
        </w:rPr>
        <w:t xml:space="preserve"> a todos os lotes, cumulativamente, para os quais a licitante formule propostas</w:t>
      </w:r>
      <w:r>
        <w:t xml:space="preserve">. Acórdão 1630/2009 Plenário No tocante à necessidade de apresentação de certidão de dívida ativa da União como forma de comprovação da regularidade fiscal no âmbito federal (objeto do item a.1 da oitiva prévia), entendo, em concordância com a análise da unidade técnica, que esse requisito não constitui restrição ao caráter competitivo do certame, por estar em consonância com o disposto no art. 29, inciso III, da Lei n. 8.666/1993, a saber: “Art. 29. A documentação relativa à regularidade fiscal, conforme o caso, consistirá em: (...) III - prova de regularidade </w:t>
      </w:r>
      <w:r>
        <w:lastRenderedPageBreak/>
        <w:t xml:space="preserve">para com a Fazenda Federal, Estadual e Municipal do domicílio ou sede do licitante, ou outra equivalente, na forma da lei”; Em que pese a alteração promovida pelo órgão, observa-se que a obrigatoriedade de apresentação de certidões negativas de protestos (...), de débitos salariais de pessoa jurídica (...) e de ilícitos trabalhistas (...), ainda que apenas no momento da formalização contratual, não encontra supedâneo na Lei n. 8.666/1993, nem mesmo na jurisprudência desta Corte. Com efeito, é firme o entendimento deste Tribunal de que somente podem ser exigidos os documentos de que tratam os art. 27 a 31 da Lei n. 8.666/1993, dentre os quais não constam as certidões acima mencionadas. Por oportuno, trago a colação trecho do Voto do Ministro Benjamin </w:t>
      </w:r>
      <w:proofErr w:type="spellStart"/>
      <w:r>
        <w:t>Zymler</w:t>
      </w:r>
      <w:proofErr w:type="spellEnd"/>
      <w:r>
        <w:t xml:space="preserve">, </w:t>
      </w:r>
      <w:proofErr w:type="spellStart"/>
      <w:r>
        <w:t>embasador</w:t>
      </w:r>
      <w:proofErr w:type="spellEnd"/>
      <w:r>
        <w:t xml:space="preserve"> do </w:t>
      </w:r>
      <w:r w:rsidRPr="00D75311">
        <w:rPr>
          <w:highlight w:val="yellow"/>
        </w:rPr>
        <w:t xml:space="preserve">Acórdão n. 808/2003 - Plenário, em que essa compreensão está bem explicitada: “Documentação exigida para habilitação O edital impugnado exigiu, para fins de habilitação, que os licitantes apresentassem diversos documentos não previstos no art. 27 da Lei nº 8.666/93, a saber: a) certidão de ações cíveis e execuções expedidas pela Justiça Federal; b) atestado de idoneidade financeira passado por estabelecimento bancário do domicílio ou da sede da licitante; c) certidão negativa de ação e execução expedida pelo Tribunal de Justiça do domicílio ou da sede do licitante, bem </w:t>
      </w:r>
      <w:proofErr w:type="spellStart"/>
      <w:r w:rsidRPr="00D75311">
        <w:rPr>
          <w:highlight w:val="yellow"/>
        </w:rPr>
        <w:t>com</w:t>
      </w:r>
      <w:proofErr w:type="spellEnd"/>
      <w:r w:rsidRPr="00D75311">
        <w:rPr>
          <w:highlight w:val="yellow"/>
        </w:rPr>
        <w:t xml:space="preserve"> de seus titulares; d) certidão simplificada da Junta Comercial, com prazo máximo de 30 dias da data da abertura dos envelopes e </w:t>
      </w:r>
      <w:proofErr w:type="spellStart"/>
      <w:r w:rsidRPr="00D75311">
        <w:rPr>
          <w:highlight w:val="yellow"/>
        </w:rPr>
        <w:t>e</w:t>
      </w:r>
      <w:proofErr w:type="spellEnd"/>
      <w:r w:rsidRPr="00D75311">
        <w:rPr>
          <w:highlight w:val="yellow"/>
        </w:rPr>
        <w:t>) guia de recolhimento da contribuição sindical</w:t>
      </w:r>
      <w:bookmarkStart w:id="0" w:name="_GoBack"/>
      <w:bookmarkEnd w:id="0"/>
      <w:r>
        <w:t xml:space="preserve">. Os </w:t>
      </w:r>
      <w:proofErr w:type="spellStart"/>
      <w:r>
        <w:t>arts</w:t>
      </w:r>
      <w:proofErr w:type="spellEnd"/>
      <w:r>
        <w:t xml:space="preserve">. 27 a 31 do Estatuto das Licitações estabelecem quais os documentos podem ser exigidos dos interessados em participar de 337 Licitações e Contratos - Orientações e Jurisprudência do TCU certame promovido pelo Poder Público com o objetivo de celebrar futuro contrato. Referidos dispositivos buscam evitar que pessoas, físicas ou jurídicas, que não tenham qualificação mínima venham a ser contratadas, colocando em risco a execução do ajuste e, em última análise, o atingimento do interesse público adjacente. Entretanto, a própria Norma Legal que rege a matéria veda a exigência de documentos outros que não aqueles estabelecidos nos dispositivos acima. Garante-se, com tal medida, que todos aqueles que preencham os requisitos mínimos para contratar com a Administração possam participar do certame em igualdade de condições. </w:t>
      </w:r>
      <w:r>
        <w:lastRenderedPageBreak/>
        <w:t>Concretiza-se, dessa forma, o princípio constitucional da impessoalidade, uma vez que evita que o agente público possa, por motivos de índole subjetiva, afastar do certame este ou aquele interessado. (...)” Acórdão 1391/2009 Plenário (Voto do Ministro Relator</w:t>
      </w:r>
      <w:proofErr w:type="gramStart"/>
      <w:r>
        <w:t>) Em</w:t>
      </w:r>
      <w:proofErr w:type="gramEnd"/>
      <w:r>
        <w:t xml:space="preserve"> relação às razões de justificativa neste ponto apresentadas pelo responsável, cabe esclarecer que o art. 32, § 5º, da Lei nº 8.666/1993, expressamente proíbe, para habilitação dos licitantes, prévio recolhimento de taxas ou emolumentos, salvo os valores referentes ao fornecimento do edital e seus elementos constitutivos, limitados ao valor do custo efetivo de reprodução gráfica da documentação fornecida. Acórdão 3066/2008 Plenário (Relatório do Ministro Relator) Abstenha-se de prever, como exigência de habilitação, requisitos que não estejam contemplados nos </w:t>
      </w:r>
      <w:proofErr w:type="spellStart"/>
      <w:r>
        <w:t>arts</w:t>
      </w:r>
      <w:proofErr w:type="spellEnd"/>
      <w:r>
        <w:t xml:space="preserve">. 28 a 31 da Lei nº 8.666/1993, por ausência de amparo legal e por restringir a competitividade da licitação, em afronta ao disposto no art. 3º, § 1º, inciso I, da referida lei. Acórdão 1731/2008 Plenário No entender deste Tribunal, a Administração Pública deve ater-se ao rol dos documentos elencados nos </w:t>
      </w:r>
      <w:proofErr w:type="spellStart"/>
      <w:r>
        <w:t>arts</w:t>
      </w:r>
      <w:proofErr w:type="spellEnd"/>
      <w:r>
        <w:t xml:space="preserve">. 27 a 31 da Lei de Licitações para fins de habilitação, não sendo lícita a exigência de nenhum outro documento que não esteja ali apontado (Decisão nº 202/1996 - Plenário, Decisão nº 523/1997 - Plenário, Acórdão nº 1.602/2004 - Plenário, Acórdão nº 808/2003 - Plenário) considerando que a carta de solidariedade não integra a relação de documentos dos artigos mencionados, não se contempla a possibilidade de sua exigência. A área técnica alega preocupar-se com a criação de mecanismos de proteção que garantam à Administração a prestação eficiente dos serviços contratados. Contudo, não é possível o estabelecimento de exigências adicionais, além das previstas em lei, para a fase de habilitação. Existem outros meios para assegurar o cumprimento das obrigações pactuadas, como a possibilidade de se pontuar a referida garantia na licitação tipo técnica e preço, como já mencionado, ou a exigência de garantia para a execução contratual, conforme o art. 56 da Lei de Licitações, ou ainda a estipulação de multa contratual. Ademais, como mencionado no Acórdão nº 1.670/2003 - Plenário, já existe a previsão legal de responsabilidade do fabricante no próprio Código de Defesa do Consumidor (Lei nº 8.078/90), em seus artigos 12 e 18, a seguir transcrito, que protege a </w:t>
      </w:r>
      <w:r>
        <w:lastRenderedPageBreak/>
        <w:t>Administração Pública contra eventual prejuízo pelo não-cumprimento fiel do objeto contratado. Assim, não há necessidade de se estabelecer tal exigência nos editais de licitação, pois, além de ser desnecessária, restringe o caráter competitivo do certame licitatório.</w:t>
      </w:r>
    </w:p>
    <w:sectPr w:rsidR="00F817CE" w:rsidRPr="00F817CE" w:rsidSect="00846BB4">
      <w:headerReference w:type="default" r:id="rId9"/>
      <w:footerReference w:type="even" r:id="rId10"/>
      <w:footerReference w:type="default" r:id="rId11"/>
      <w:type w:val="continuous"/>
      <w:pgSz w:w="11907" w:h="16840"/>
      <w:pgMar w:top="2126" w:right="1559" w:bottom="1843" w:left="1559" w:header="567" w:footer="1474" w:gutter="0"/>
      <w:pgNumType w:start="1"/>
      <w:cols w:space="709"/>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D2" w:rsidRDefault="00A80A2B">
      <w:r>
        <w:separator/>
      </w:r>
    </w:p>
  </w:endnote>
  <w:endnote w:type="continuationSeparator" w:id="0">
    <w:p w:rsidR="008008D2" w:rsidRDefault="00A8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A3" w:rsidRPr="00BF5B62" w:rsidRDefault="000066A3" w:rsidP="00BF5B62">
    <w:pPr>
      <w:pStyle w:val="Rodap"/>
      <w:ind w:left="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gridCol w:w="851"/>
    </w:tblGrid>
    <w:tr w:rsidR="00A96A30" w:rsidRPr="005102B9" w:rsidTr="00C105FC">
      <w:tc>
        <w:tcPr>
          <w:tcW w:w="9356" w:type="dxa"/>
          <w:vAlign w:val="center"/>
        </w:tcPr>
        <w:p w:rsidR="00A96A30" w:rsidRPr="005102B9" w:rsidRDefault="00A96A30" w:rsidP="008C618C">
          <w:pPr>
            <w:pStyle w:val="Rodap"/>
          </w:pPr>
          <w:r w:rsidRPr="005102B9">
            <w:t>Cód</w:t>
          </w:r>
          <w:r w:rsidR="00BA628F" w:rsidRPr="005102B9">
            <w:t>.</w:t>
          </w:r>
          <w:r w:rsidRPr="005102B9">
            <w:t xml:space="preserve"> </w:t>
          </w:r>
          <w:r w:rsidR="008C618C">
            <w:t>233</w:t>
          </w:r>
          <w:r w:rsidRPr="005102B9">
            <w:t xml:space="preserve"> (Versão 0</w:t>
          </w:r>
          <w:r w:rsidR="008C618C">
            <w:t>2</w:t>
          </w:r>
          <w:r w:rsidRPr="005102B9">
            <w:t>)</w:t>
          </w:r>
        </w:p>
      </w:tc>
      <w:tc>
        <w:tcPr>
          <w:tcW w:w="851" w:type="dxa"/>
          <w:vAlign w:val="center"/>
        </w:tcPr>
        <w:p w:rsidR="00A96A30" w:rsidRPr="00B83071" w:rsidRDefault="00A96A30" w:rsidP="006376F2">
          <w:pPr>
            <w:pStyle w:val="Rodap"/>
            <w:jc w:val="right"/>
            <w:rPr>
              <w:rStyle w:val="Nmerodepgina"/>
            </w:rPr>
          </w:pPr>
          <w:r w:rsidRPr="00B83071">
            <w:rPr>
              <w:rStyle w:val="Nmerodepgina"/>
            </w:rPr>
            <w:fldChar w:fldCharType="begin"/>
          </w:r>
          <w:r w:rsidRPr="00B83071">
            <w:rPr>
              <w:rStyle w:val="Nmerodepgina"/>
            </w:rPr>
            <w:instrText>PAGE   \* MERGEFORMAT</w:instrText>
          </w:r>
          <w:r w:rsidRPr="00B83071">
            <w:rPr>
              <w:rStyle w:val="Nmerodepgina"/>
            </w:rPr>
            <w:fldChar w:fldCharType="separate"/>
          </w:r>
          <w:r w:rsidR="00D75311">
            <w:rPr>
              <w:rStyle w:val="Nmerodepgina"/>
              <w:noProof/>
            </w:rPr>
            <w:t>16</w:t>
          </w:r>
          <w:r w:rsidRPr="00B83071">
            <w:rPr>
              <w:rStyle w:val="Nmerodepgina"/>
            </w:rPr>
            <w:fldChar w:fldCharType="end"/>
          </w:r>
        </w:p>
      </w:tc>
    </w:tr>
  </w:tbl>
  <w:p w:rsidR="008008D2" w:rsidRPr="006B5140" w:rsidRDefault="008008D2" w:rsidP="009121BE">
    <w:pPr>
      <w:pStyle w:val="auxiliar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D2" w:rsidRDefault="00A80A2B">
      <w:r>
        <w:separator/>
      </w:r>
    </w:p>
  </w:footnote>
  <w:footnote w:type="continuationSeparator" w:id="0">
    <w:p w:rsidR="008008D2" w:rsidRDefault="00A8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852" w:tblpY="1"/>
      <w:tblOverlap w:val="never"/>
      <w:tblW w:w="10490" w:type="dxa"/>
      <w:tblLayout w:type="fixed"/>
      <w:tblCellMar>
        <w:left w:w="0" w:type="dxa"/>
        <w:right w:w="0" w:type="dxa"/>
      </w:tblCellMar>
      <w:tblLook w:val="0000" w:firstRow="0" w:lastRow="0" w:firstColumn="0" w:lastColumn="0" w:noHBand="0" w:noVBand="0"/>
    </w:tblPr>
    <w:tblGrid>
      <w:gridCol w:w="2694"/>
      <w:gridCol w:w="4394"/>
      <w:gridCol w:w="992"/>
      <w:gridCol w:w="2410"/>
    </w:tblGrid>
    <w:tr w:rsidR="004611F4" w:rsidTr="003B18FB">
      <w:trPr>
        <w:trHeight w:val="283"/>
      </w:trPr>
      <w:tc>
        <w:tcPr>
          <w:tcW w:w="2694" w:type="dxa"/>
          <w:vMerge w:val="restart"/>
        </w:tcPr>
        <w:p w:rsidR="004611F4" w:rsidRPr="00081E47" w:rsidRDefault="00E703AB" w:rsidP="003B18FB">
          <w:pPr>
            <w:spacing w:before="0" w:line="240" w:lineRule="auto"/>
            <w:rPr>
              <w:rFonts w:ascii="Times New Roman" w:hAnsi="Times New Roman" w:cs="Times New Roman"/>
              <w:b/>
              <w:bCs/>
              <w:sz w:val="12"/>
              <w:szCs w:val="12"/>
            </w:rPr>
          </w:pPr>
          <w:r>
            <w:object w:dxaOrig="10260" w:dyaOrig="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7pt;mso-position-horizontal:absolute" o:ole="">
                <v:imagedata r:id="rId1" o:title=""/>
              </v:shape>
              <o:OLEObject Type="Embed" ProgID="PBrush" ShapeID="_x0000_i1025" DrawAspect="Content" ObjectID="_1649852899" r:id="rId2"/>
            </w:object>
          </w:r>
        </w:p>
      </w:tc>
      <w:tc>
        <w:tcPr>
          <w:tcW w:w="4394" w:type="dxa"/>
          <w:vMerge w:val="restart"/>
          <w:tcBorders>
            <w:right w:val="single" w:sz="8" w:space="0" w:color="auto"/>
          </w:tcBorders>
          <w:vAlign w:val="center"/>
        </w:tcPr>
        <w:p w:rsidR="004611F4" w:rsidRPr="008E5BAC" w:rsidRDefault="004611F4" w:rsidP="003B18FB">
          <w:pPr>
            <w:pStyle w:val="Descrio"/>
            <w:tabs>
              <w:tab w:val="clear" w:pos="8040"/>
            </w:tabs>
          </w:pPr>
        </w:p>
      </w:tc>
      <w:tc>
        <w:tcPr>
          <w:tcW w:w="992" w:type="dxa"/>
          <w:tcBorders>
            <w:top w:val="single" w:sz="8" w:space="0" w:color="auto"/>
            <w:left w:val="single" w:sz="8" w:space="0" w:color="auto"/>
          </w:tcBorders>
          <w:vAlign w:val="center"/>
        </w:tcPr>
        <w:p w:rsidR="004611F4" w:rsidRPr="00F14C0B" w:rsidRDefault="004611F4" w:rsidP="003B18FB">
          <w:pPr>
            <w:pStyle w:val="Carimbo"/>
            <w:rPr>
              <w:b/>
            </w:rPr>
          </w:pPr>
          <w:r w:rsidRPr="00F14C0B">
            <w:t>Folha nº</w:t>
          </w:r>
        </w:p>
      </w:tc>
      <w:tc>
        <w:tcPr>
          <w:tcW w:w="2410" w:type="dxa"/>
          <w:tcBorders>
            <w:top w:val="single" w:sz="8" w:space="0" w:color="auto"/>
            <w:right w:val="single" w:sz="8" w:space="0" w:color="auto"/>
          </w:tcBorders>
          <w:vAlign w:val="center"/>
        </w:tcPr>
        <w:p w:rsidR="004611F4" w:rsidRPr="00F14C0B" w:rsidRDefault="004611F4" w:rsidP="003B18FB">
          <w:pPr>
            <w:pStyle w:val="Carimbo"/>
          </w:pPr>
        </w:p>
      </w:tc>
    </w:tr>
    <w:tr w:rsidR="004611F4" w:rsidTr="003B18FB">
      <w:trPr>
        <w:trHeight w:hRule="exact" w:val="283"/>
      </w:trPr>
      <w:tc>
        <w:tcPr>
          <w:tcW w:w="2694" w:type="dxa"/>
          <w:vMerge/>
          <w:vAlign w:val="center"/>
        </w:tcPr>
        <w:p w:rsidR="004611F4" w:rsidRDefault="004611F4" w:rsidP="003B18FB">
          <w:pPr>
            <w:spacing w:before="0" w:line="240" w:lineRule="auto"/>
          </w:pPr>
        </w:p>
      </w:tc>
      <w:tc>
        <w:tcPr>
          <w:tcW w:w="4394" w:type="dxa"/>
          <w:vMerge/>
          <w:tcBorders>
            <w:right w:val="single" w:sz="8" w:space="0" w:color="auto"/>
          </w:tcBorders>
          <w:vAlign w:val="center"/>
        </w:tcPr>
        <w:p w:rsidR="004611F4" w:rsidRPr="008E5BAC" w:rsidRDefault="004611F4" w:rsidP="003B18FB">
          <w:pPr>
            <w:pStyle w:val="Descrio"/>
            <w:tabs>
              <w:tab w:val="clear" w:pos="8040"/>
            </w:tabs>
          </w:pPr>
        </w:p>
      </w:tc>
      <w:tc>
        <w:tcPr>
          <w:tcW w:w="992" w:type="dxa"/>
          <w:tcBorders>
            <w:left w:val="single" w:sz="8" w:space="0" w:color="auto"/>
          </w:tcBorders>
          <w:vAlign w:val="center"/>
        </w:tcPr>
        <w:p w:rsidR="004611F4" w:rsidRPr="003D62A1" w:rsidRDefault="004611F4" w:rsidP="003B18FB">
          <w:pPr>
            <w:pStyle w:val="Carimbo"/>
            <w:rPr>
              <w:b/>
            </w:rPr>
          </w:pPr>
          <w:r w:rsidRPr="003D62A1">
            <w:t>Proc. nº</w:t>
          </w:r>
        </w:p>
      </w:tc>
      <w:tc>
        <w:tcPr>
          <w:tcW w:w="2410" w:type="dxa"/>
          <w:tcBorders>
            <w:right w:val="single" w:sz="8" w:space="0" w:color="auto"/>
          </w:tcBorders>
          <w:vAlign w:val="center"/>
        </w:tcPr>
        <w:p w:rsidR="004611F4" w:rsidRPr="00F14C0B" w:rsidRDefault="004611F4" w:rsidP="003B18FB">
          <w:pPr>
            <w:pStyle w:val="Carimbo"/>
          </w:pPr>
        </w:p>
      </w:tc>
    </w:tr>
    <w:tr w:rsidR="005A79A1" w:rsidTr="003B18FB">
      <w:trPr>
        <w:trHeight w:hRule="exact" w:val="567"/>
      </w:trPr>
      <w:tc>
        <w:tcPr>
          <w:tcW w:w="2694" w:type="dxa"/>
          <w:vMerge/>
          <w:vAlign w:val="center"/>
        </w:tcPr>
        <w:p w:rsidR="005A79A1" w:rsidRDefault="005A79A1" w:rsidP="003B18FB">
          <w:pPr>
            <w:spacing w:before="0" w:line="240" w:lineRule="auto"/>
          </w:pPr>
        </w:p>
      </w:tc>
      <w:tc>
        <w:tcPr>
          <w:tcW w:w="4394" w:type="dxa"/>
          <w:vMerge/>
          <w:tcBorders>
            <w:right w:val="single" w:sz="8" w:space="0" w:color="auto"/>
          </w:tcBorders>
          <w:vAlign w:val="center"/>
        </w:tcPr>
        <w:p w:rsidR="005A79A1" w:rsidRPr="008E5BAC" w:rsidRDefault="005A79A1" w:rsidP="003B18FB">
          <w:pPr>
            <w:pStyle w:val="Descrio"/>
            <w:tabs>
              <w:tab w:val="clear" w:pos="8040"/>
            </w:tabs>
          </w:pPr>
        </w:p>
      </w:tc>
      <w:tc>
        <w:tcPr>
          <w:tcW w:w="3402" w:type="dxa"/>
          <w:gridSpan w:val="2"/>
          <w:tcBorders>
            <w:left w:val="single" w:sz="8" w:space="0" w:color="auto"/>
            <w:bottom w:val="single" w:sz="8" w:space="0" w:color="auto"/>
            <w:right w:val="single" w:sz="8" w:space="0" w:color="auto"/>
          </w:tcBorders>
          <w:vAlign w:val="center"/>
        </w:tcPr>
        <w:p w:rsidR="003D62A1" w:rsidRPr="00F14C0B" w:rsidRDefault="003D62A1" w:rsidP="003B18FB">
          <w:pPr>
            <w:pStyle w:val="Carimbo2"/>
          </w:pPr>
        </w:p>
      </w:tc>
    </w:tr>
  </w:tbl>
  <w:p w:rsidR="008008D2" w:rsidRDefault="008008D2" w:rsidP="0083758B">
    <w:pPr>
      <w:pStyle w:val="auxiliar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3FA1"/>
    <w:multiLevelType w:val="multilevel"/>
    <w:tmpl w:val="80A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A32BC"/>
    <w:multiLevelType w:val="multilevel"/>
    <w:tmpl w:val="297497BE"/>
    <w:lvl w:ilvl="0">
      <w:start w:val="1"/>
      <w:numFmt w:val="decimal"/>
      <w:lvlText w:val="%1."/>
      <w:lvlJc w:val="left"/>
      <w:pPr>
        <w:ind w:left="567" w:hanging="425"/>
      </w:pPr>
      <w:rPr>
        <w:rFonts w:ascii="Arial" w:hAnsi="Arial" w:cs="Arial" w:hint="default"/>
        <w:sz w:val="24"/>
        <w:szCs w:val="24"/>
      </w:rPr>
    </w:lvl>
    <w:lvl w:ilvl="1">
      <w:start w:val="1"/>
      <w:numFmt w:val="decimal"/>
      <w:lvlText w:val="%1.%2."/>
      <w:lvlJc w:val="left"/>
      <w:pPr>
        <w:ind w:left="709" w:hanging="567"/>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709"/>
      </w:pPr>
      <w:rPr>
        <w:rFonts w:hint="default"/>
      </w:rPr>
    </w:lvl>
    <w:lvl w:ilvl="3">
      <w:start w:val="1"/>
      <w:numFmt w:val="lowerLetter"/>
      <w:lvlText w:val="%4)"/>
      <w:lvlJc w:val="left"/>
      <w:pPr>
        <w:ind w:left="1418" w:hanging="426"/>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C04F44"/>
    <w:multiLevelType w:val="hybridMultilevel"/>
    <w:tmpl w:val="2D4C1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71F5E42"/>
    <w:multiLevelType w:val="multilevel"/>
    <w:tmpl w:val="8BD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06519"/>
    <w:multiLevelType w:val="hybridMultilevel"/>
    <w:tmpl w:val="232A4A62"/>
    <w:lvl w:ilvl="0" w:tplc="03AE93AE">
      <w:start w:val="4"/>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65103BE"/>
    <w:multiLevelType w:val="hybridMultilevel"/>
    <w:tmpl w:val="9BD27898"/>
    <w:lvl w:ilvl="0" w:tplc="FB626AAE">
      <w:start w:val="1"/>
      <w:numFmt w:val="bullet"/>
      <w:pStyle w:val="ItemManifestacao"/>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6AF50757"/>
    <w:multiLevelType w:val="multilevel"/>
    <w:tmpl w:val="FDFEB236"/>
    <w:lvl w:ilvl="0">
      <w:start w:val="1"/>
      <w:numFmt w:val="decimal"/>
      <w:pStyle w:val="Ttulo1"/>
      <w:lvlText w:val="%1."/>
      <w:lvlJc w:val="left"/>
      <w:pPr>
        <w:ind w:left="502" w:hanging="360"/>
      </w:pPr>
      <w:rPr>
        <w:rFonts w:hint="default"/>
      </w:rPr>
    </w:lvl>
    <w:lvl w:ilvl="1">
      <w:start w:val="1"/>
      <w:numFmt w:val="decimal"/>
      <w:pStyle w:val="Ttulo2"/>
      <w:isLgl/>
      <w:lvlText w:val="%1.%2."/>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862" w:hanging="720"/>
      </w:pPr>
      <w:rPr>
        <w:rFonts w:hint="default"/>
      </w:rPr>
    </w:lvl>
    <w:lvl w:ilvl="3">
      <w:start w:val="1"/>
      <w:numFmt w:val="decimal"/>
      <w:pStyle w:val="Ttulo4"/>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6D21526F"/>
    <w:multiLevelType w:val="multilevel"/>
    <w:tmpl w:val="AFD0585C"/>
    <w:lvl w:ilvl="0">
      <w:start w:val="1"/>
      <w:numFmt w:val="bullet"/>
      <w:pStyle w:val="Itemizao"/>
      <w:lvlText w:val=""/>
      <w:lvlJc w:val="left"/>
      <w:pPr>
        <w:ind w:left="360" w:hanging="360"/>
      </w:pPr>
      <w:rPr>
        <w:rFonts w:ascii="Symbol" w:hAnsi="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2E78C0"/>
    <w:multiLevelType w:val="multilevel"/>
    <w:tmpl w:val="4ECC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81D1E"/>
    <w:multiLevelType w:val="multilevel"/>
    <w:tmpl w:val="7EB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C1BCE"/>
    <w:multiLevelType w:val="multilevel"/>
    <w:tmpl w:val="C38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3"/>
    </w:lvlOverride>
  </w:num>
  <w:num w:numId="3">
    <w:abstractNumId w:val="7"/>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5"/>
  </w:num>
  <w:num w:numId="15">
    <w:abstractNumId w:val="2"/>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8"/>
  </w:num>
  <w:num w:numId="30">
    <w:abstractNumId w:val="3"/>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0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2B"/>
    <w:rsid w:val="000066A3"/>
    <w:rsid w:val="00006E99"/>
    <w:rsid w:val="0001595D"/>
    <w:rsid w:val="00056C4F"/>
    <w:rsid w:val="00070491"/>
    <w:rsid w:val="00081E47"/>
    <w:rsid w:val="000B5C1E"/>
    <w:rsid w:val="000B5F72"/>
    <w:rsid w:val="000C3CE8"/>
    <w:rsid w:val="000C739D"/>
    <w:rsid w:val="000F5A30"/>
    <w:rsid w:val="0011657C"/>
    <w:rsid w:val="00121D30"/>
    <w:rsid w:val="0012368B"/>
    <w:rsid w:val="00130495"/>
    <w:rsid w:val="00133A52"/>
    <w:rsid w:val="00140225"/>
    <w:rsid w:val="0015244E"/>
    <w:rsid w:val="00193C2F"/>
    <w:rsid w:val="001A320A"/>
    <w:rsid w:val="001A329A"/>
    <w:rsid w:val="001A5844"/>
    <w:rsid w:val="001B368F"/>
    <w:rsid w:val="001B511E"/>
    <w:rsid w:val="001B7B14"/>
    <w:rsid w:val="001C4D72"/>
    <w:rsid w:val="001E1BFB"/>
    <w:rsid w:val="001E7CC9"/>
    <w:rsid w:val="001F096B"/>
    <w:rsid w:val="00221569"/>
    <w:rsid w:val="0022367B"/>
    <w:rsid w:val="00225C9F"/>
    <w:rsid w:val="002304C1"/>
    <w:rsid w:val="00250434"/>
    <w:rsid w:val="00251D87"/>
    <w:rsid w:val="00254D44"/>
    <w:rsid w:val="002632A5"/>
    <w:rsid w:val="002655E8"/>
    <w:rsid w:val="00287D07"/>
    <w:rsid w:val="002A183C"/>
    <w:rsid w:val="002B44DE"/>
    <w:rsid w:val="002B74E1"/>
    <w:rsid w:val="002D1EE6"/>
    <w:rsid w:val="002D1F8D"/>
    <w:rsid w:val="00310401"/>
    <w:rsid w:val="0035440E"/>
    <w:rsid w:val="003628D1"/>
    <w:rsid w:val="00374A6E"/>
    <w:rsid w:val="00386579"/>
    <w:rsid w:val="00393698"/>
    <w:rsid w:val="003A099B"/>
    <w:rsid w:val="003B18FB"/>
    <w:rsid w:val="003B4820"/>
    <w:rsid w:val="003C1725"/>
    <w:rsid w:val="003C2EC9"/>
    <w:rsid w:val="003D4A31"/>
    <w:rsid w:val="003D62A1"/>
    <w:rsid w:val="003E02F7"/>
    <w:rsid w:val="003E2D06"/>
    <w:rsid w:val="003E7192"/>
    <w:rsid w:val="003F4F5F"/>
    <w:rsid w:val="004031C1"/>
    <w:rsid w:val="00427748"/>
    <w:rsid w:val="00444BB6"/>
    <w:rsid w:val="00446AF3"/>
    <w:rsid w:val="004504BF"/>
    <w:rsid w:val="00457E39"/>
    <w:rsid w:val="004611F4"/>
    <w:rsid w:val="00472302"/>
    <w:rsid w:val="004835C8"/>
    <w:rsid w:val="004A3D4F"/>
    <w:rsid w:val="004B0739"/>
    <w:rsid w:val="004B3EEB"/>
    <w:rsid w:val="004B5FEC"/>
    <w:rsid w:val="004B77F6"/>
    <w:rsid w:val="004D3B22"/>
    <w:rsid w:val="004E388F"/>
    <w:rsid w:val="004F792F"/>
    <w:rsid w:val="005102B9"/>
    <w:rsid w:val="005110A0"/>
    <w:rsid w:val="005338CA"/>
    <w:rsid w:val="0056043C"/>
    <w:rsid w:val="0057441A"/>
    <w:rsid w:val="00584B34"/>
    <w:rsid w:val="0058783C"/>
    <w:rsid w:val="00591F15"/>
    <w:rsid w:val="005929CD"/>
    <w:rsid w:val="00593A5E"/>
    <w:rsid w:val="005A79A1"/>
    <w:rsid w:val="005B5452"/>
    <w:rsid w:val="005C1366"/>
    <w:rsid w:val="006156CF"/>
    <w:rsid w:val="00632472"/>
    <w:rsid w:val="006376F2"/>
    <w:rsid w:val="00694893"/>
    <w:rsid w:val="006953DB"/>
    <w:rsid w:val="00697D61"/>
    <w:rsid w:val="006B022B"/>
    <w:rsid w:val="006B0852"/>
    <w:rsid w:val="006B5140"/>
    <w:rsid w:val="006C231E"/>
    <w:rsid w:val="006D7F04"/>
    <w:rsid w:val="006E5FCA"/>
    <w:rsid w:val="006F1FB1"/>
    <w:rsid w:val="006F5ADA"/>
    <w:rsid w:val="00702B16"/>
    <w:rsid w:val="00707954"/>
    <w:rsid w:val="0072243F"/>
    <w:rsid w:val="00722A29"/>
    <w:rsid w:val="00774C31"/>
    <w:rsid w:val="007906F6"/>
    <w:rsid w:val="00795300"/>
    <w:rsid w:val="007B0690"/>
    <w:rsid w:val="007D79F1"/>
    <w:rsid w:val="008008D2"/>
    <w:rsid w:val="00804B2A"/>
    <w:rsid w:val="00824CEB"/>
    <w:rsid w:val="0083088D"/>
    <w:rsid w:val="0083442F"/>
    <w:rsid w:val="0083758B"/>
    <w:rsid w:val="00846BB4"/>
    <w:rsid w:val="00875631"/>
    <w:rsid w:val="00877758"/>
    <w:rsid w:val="00887758"/>
    <w:rsid w:val="008934AF"/>
    <w:rsid w:val="00896B01"/>
    <w:rsid w:val="008B33D0"/>
    <w:rsid w:val="008C068D"/>
    <w:rsid w:val="008C618C"/>
    <w:rsid w:val="008C72BA"/>
    <w:rsid w:val="008E1ABE"/>
    <w:rsid w:val="008E3924"/>
    <w:rsid w:val="008E5BAC"/>
    <w:rsid w:val="00900269"/>
    <w:rsid w:val="00904EA2"/>
    <w:rsid w:val="00911532"/>
    <w:rsid w:val="009121BE"/>
    <w:rsid w:val="00915379"/>
    <w:rsid w:val="0092799F"/>
    <w:rsid w:val="0094012A"/>
    <w:rsid w:val="00940B8A"/>
    <w:rsid w:val="00947559"/>
    <w:rsid w:val="00954F40"/>
    <w:rsid w:val="00977279"/>
    <w:rsid w:val="009A7FA6"/>
    <w:rsid w:val="009B1173"/>
    <w:rsid w:val="009B2EC5"/>
    <w:rsid w:val="009B3A59"/>
    <w:rsid w:val="009C405B"/>
    <w:rsid w:val="009F5E76"/>
    <w:rsid w:val="00A10473"/>
    <w:rsid w:val="00A26B25"/>
    <w:rsid w:val="00A3339E"/>
    <w:rsid w:val="00A42D6E"/>
    <w:rsid w:val="00A46867"/>
    <w:rsid w:val="00A50AA1"/>
    <w:rsid w:val="00A608D6"/>
    <w:rsid w:val="00A61D51"/>
    <w:rsid w:val="00A65D59"/>
    <w:rsid w:val="00A76991"/>
    <w:rsid w:val="00A80A2B"/>
    <w:rsid w:val="00A930FF"/>
    <w:rsid w:val="00A96A30"/>
    <w:rsid w:val="00AA071D"/>
    <w:rsid w:val="00AA3277"/>
    <w:rsid w:val="00AB1FAA"/>
    <w:rsid w:val="00AE5593"/>
    <w:rsid w:val="00AE6BA3"/>
    <w:rsid w:val="00AF0DDF"/>
    <w:rsid w:val="00B027AC"/>
    <w:rsid w:val="00B20A51"/>
    <w:rsid w:val="00B34419"/>
    <w:rsid w:val="00B37FDF"/>
    <w:rsid w:val="00B4333E"/>
    <w:rsid w:val="00B6035A"/>
    <w:rsid w:val="00B83071"/>
    <w:rsid w:val="00B8640F"/>
    <w:rsid w:val="00B97D8D"/>
    <w:rsid w:val="00BA1413"/>
    <w:rsid w:val="00BA5D29"/>
    <w:rsid w:val="00BA628F"/>
    <w:rsid w:val="00BA6D78"/>
    <w:rsid w:val="00BB0762"/>
    <w:rsid w:val="00BB2A08"/>
    <w:rsid w:val="00BB3CDD"/>
    <w:rsid w:val="00BC4FB9"/>
    <w:rsid w:val="00BC54A8"/>
    <w:rsid w:val="00BF0E81"/>
    <w:rsid w:val="00BF0F84"/>
    <w:rsid w:val="00BF4EC9"/>
    <w:rsid w:val="00BF5B62"/>
    <w:rsid w:val="00C105FC"/>
    <w:rsid w:val="00C13C76"/>
    <w:rsid w:val="00C37364"/>
    <w:rsid w:val="00C63C0F"/>
    <w:rsid w:val="00C921D5"/>
    <w:rsid w:val="00C9292A"/>
    <w:rsid w:val="00C96F25"/>
    <w:rsid w:val="00CA3DEE"/>
    <w:rsid w:val="00CB42FE"/>
    <w:rsid w:val="00CC27FE"/>
    <w:rsid w:val="00CD1BD3"/>
    <w:rsid w:val="00CE2E39"/>
    <w:rsid w:val="00CF6FB9"/>
    <w:rsid w:val="00D05156"/>
    <w:rsid w:val="00D12CE1"/>
    <w:rsid w:val="00D1302B"/>
    <w:rsid w:val="00D138D4"/>
    <w:rsid w:val="00D204F0"/>
    <w:rsid w:val="00D33341"/>
    <w:rsid w:val="00D342D2"/>
    <w:rsid w:val="00D35818"/>
    <w:rsid w:val="00D74CA5"/>
    <w:rsid w:val="00D75311"/>
    <w:rsid w:val="00D94BB8"/>
    <w:rsid w:val="00DA4183"/>
    <w:rsid w:val="00DC3E05"/>
    <w:rsid w:val="00DD2400"/>
    <w:rsid w:val="00DE18EA"/>
    <w:rsid w:val="00DE195A"/>
    <w:rsid w:val="00DE4C32"/>
    <w:rsid w:val="00DE7DB4"/>
    <w:rsid w:val="00DF5550"/>
    <w:rsid w:val="00E12BB4"/>
    <w:rsid w:val="00E23360"/>
    <w:rsid w:val="00E35809"/>
    <w:rsid w:val="00E35897"/>
    <w:rsid w:val="00E43969"/>
    <w:rsid w:val="00E60A48"/>
    <w:rsid w:val="00E61FD9"/>
    <w:rsid w:val="00E6717C"/>
    <w:rsid w:val="00E703AB"/>
    <w:rsid w:val="00E94299"/>
    <w:rsid w:val="00E94952"/>
    <w:rsid w:val="00EC7640"/>
    <w:rsid w:val="00EE6729"/>
    <w:rsid w:val="00F05D06"/>
    <w:rsid w:val="00F14C0B"/>
    <w:rsid w:val="00F46249"/>
    <w:rsid w:val="00F47BA7"/>
    <w:rsid w:val="00F54023"/>
    <w:rsid w:val="00F55EF5"/>
    <w:rsid w:val="00F575BE"/>
    <w:rsid w:val="00F63F10"/>
    <w:rsid w:val="00F817CE"/>
    <w:rsid w:val="00F936AA"/>
    <w:rsid w:val="00F94082"/>
    <w:rsid w:val="00F94ECB"/>
    <w:rsid w:val="00FB3CF7"/>
    <w:rsid w:val="00FC1B68"/>
    <w:rsid w:val="00FC264C"/>
    <w:rsid w:val="00FD304B"/>
    <w:rsid w:val="00FE103C"/>
    <w:rsid w:val="00FF099B"/>
    <w:rsid w:val="00FF4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14:defaultImageDpi w14:val="0"/>
  <w15:docId w15:val="{8E3CA682-C140-4873-8FE8-3F56853D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pt-BR" w:eastAsia="pt-BR" w:bidi="ar-SA"/>
      </w:rPr>
    </w:rPrDefault>
    <w:pPrDefault>
      <w:pPr>
        <w:spacing w:before="240" w:line="360"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Default Paragraph Font" w:semiHidden="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264C"/>
  </w:style>
  <w:style w:type="paragraph" w:styleId="Ttulo1">
    <w:name w:val="heading 1"/>
    <w:next w:val="Corpodetexto"/>
    <w:link w:val="Ttulo1Char"/>
    <w:qFormat/>
    <w:rsid w:val="00446AF3"/>
    <w:pPr>
      <w:keepNext/>
      <w:numPr>
        <w:numId w:val="4"/>
      </w:numPr>
      <w:ind w:right="198"/>
      <w:contextualSpacing/>
      <w:outlineLvl w:val="0"/>
    </w:pPr>
    <w:rPr>
      <w:rFonts w:eastAsia="Times New Roman" w:cs="Arial"/>
      <w:b/>
      <w:bCs/>
      <w:caps/>
    </w:rPr>
  </w:style>
  <w:style w:type="paragraph" w:styleId="Ttulo2">
    <w:name w:val="heading 2"/>
    <w:basedOn w:val="Ttulo1"/>
    <w:next w:val="Corpodetexto"/>
    <w:link w:val="Ttulo2Char"/>
    <w:qFormat/>
    <w:rsid w:val="0058783C"/>
    <w:pPr>
      <w:numPr>
        <w:ilvl w:val="1"/>
      </w:numPr>
      <w:tabs>
        <w:tab w:val="left" w:pos="142"/>
      </w:tabs>
      <w:spacing w:line="240" w:lineRule="auto"/>
      <w:jc w:val="both"/>
      <w:outlineLvl w:val="1"/>
    </w:pPr>
    <w:rPr>
      <w:caps w:val="0"/>
      <w:szCs w:val="20"/>
    </w:rPr>
  </w:style>
  <w:style w:type="paragraph" w:styleId="Ttulo3">
    <w:name w:val="heading 3"/>
    <w:basedOn w:val="Ttulo2"/>
    <w:next w:val="Corpodetexto"/>
    <w:link w:val="Ttulo3Char"/>
    <w:qFormat/>
    <w:rsid w:val="009B2EC5"/>
    <w:pPr>
      <w:numPr>
        <w:ilvl w:val="2"/>
      </w:numPr>
      <w:outlineLvl w:val="2"/>
    </w:pPr>
  </w:style>
  <w:style w:type="paragraph" w:styleId="Ttulo4">
    <w:name w:val="heading 4"/>
    <w:basedOn w:val="Ttulo3"/>
    <w:next w:val="Normal"/>
    <w:link w:val="Ttulo4Char"/>
    <w:rsid w:val="009B2EC5"/>
    <w:pPr>
      <w:numPr>
        <w:ilvl w:val="3"/>
      </w:numPr>
      <w:outlineLvl w:val="3"/>
    </w:pPr>
  </w:style>
  <w:style w:type="paragraph" w:styleId="Ttulo5">
    <w:name w:val="heading 5"/>
    <w:basedOn w:val="Normal"/>
    <w:next w:val="Normal"/>
    <w:link w:val="Ttulo5Char"/>
    <w:uiPriority w:val="99"/>
    <w:semiHidden/>
    <w:pPr>
      <w:keepNext/>
      <w:outlineLvl w:val="4"/>
    </w:pPr>
    <w:rPr>
      <w:rFonts w:cs="Arial"/>
      <w:b/>
      <w:bCs/>
    </w:rPr>
  </w:style>
  <w:style w:type="paragraph" w:styleId="Ttulo6">
    <w:name w:val="heading 6"/>
    <w:basedOn w:val="Normal"/>
    <w:next w:val="Normal"/>
    <w:link w:val="Ttulo6Char"/>
    <w:uiPriority w:val="99"/>
    <w:semiHidden/>
    <w:pPr>
      <w:keepNext/>
      <w:ind w:left="-68"/>
      <w:outlineLvl w:val="5"/>
    </w:pPr>
    <w:rPr>
      <w:b/>
      <w:bCs/>
      <w:sz w:val="12"/>
      <w:szCs w:val="1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7954"/>
    <w:rPr>
      <w:rFonts w:eastAsia="Times New Roman" w:cs="Arial"/>
      <w:b/>
      <w:bCs/>
      <w:caps/>
    </w:rPr>
  </w:style>
  <w:style w:type="character" w:customStyle="1" w:styleId="Ttulo2Char">
    <w:name w:val="Título 2 Char"/>
    <w:basedOn w:val="Fontepargpadro"/>
    <w:link w:val="Ttulo2"/>
    <w:rsid w:val="00707954"/>
    <w:rPr>
      <w:rFonts w:eastAsia="Times New Roman" w:cs="Arial"/>
      <w:b/>
      <w:bCs/>
      <w:szCs w:val="20"/>
    </w:rPr>
  </w:style>
  <w:style w:type="character" w:customStyle="1" w:styleId="Ttulo3Char">
    <w:name w:val="Título 3 Char"/>
    <w:basedOn w:val="Fontepargpadro"/>
    <w:link w:val="Ttulo3"/>
    <w:rsid w:val="00707954"/>
    <w:rPr>
      <w:rFonts w:eastAsia="Times New Roman" w:cs="Arial"/>
      <w:b/>
      <w:bCs/>
      <w:szCs w:val="20"/>
    </w:rPr>
  </w:style>
  <w:style w:type="character" w:customStyle="1" w:styleId="Ttulo4Char">
    <w:name w:val="Título 4 Char"/>
    <w:basedOn w:val="Fontepargpadro"/>
    <w:link w:val="Ttulo4"/>
    <w:rsid w:val="00707954"/>
    <w:rPr>
      <w:rFonts w:eastAsia="Times New Roman" w:cs="Arial"/>
      <w:b/>
      <w:bCs/>
      <w:szCs w:val="20"/>
    </w:rPr>
  </w:style>
  <w:style w:type="character" w:customStyle="1" w:styleId="Ttulo5Char">
    <w:name w:val="Título 5 Char"/>
    <w:basedOn w:val="Fontepargpadro"/>
    <w:link w:val="Ttulo5"/>
    <w:uiPriority w:val="99"/>
    <w:semiHidden/>
    <w:rsid w:val="004B5FEC"/>
    <w:rPr>
      <w:rFonts w:ascii="Arial" w:hAnsi="Arial" w:cs="Arial"/>
      <w:b/>
      <w:bCs/>
      <w:sz w:val="24"/>
      <w:szCs w:val="24"/>
    </w:rPr>
  </w:style>
  <w:style w:type="character" w:customStyle="1" w:styleId="Ttulo6Char">
    <w:name w:val="Título 6 Char"/>
    <w:basedOn w:val="Fontepargpadro"/>
    <w:link w:val="Ttulo6"/>
    <w:uiPriority w:val="99"/>
    <w:semiHidden/>
    <w:rsid w:val="004B5FEC"/>
    <w:rPr>
      <w:rFonts w:ascii="Arial" w:hAnsi="Arial" w:cs="Times New Roman"/>
      <w:b/>
      <w:bCs/>
      <w:sz w:val="12"/>
      <w:szCs w:val="12"/>
    </w:rPr>
  </w:style>
  <w:style w:type="paragraph" w:styleId="Cabealho">
    <w:name w:val="header"/>
    <w:link w:val="CabealhoChar"/>
    <w:uiPriority w:val="99"/>
    <w:qFormat/>
    <w:rsid w:val="0058783C"/>
    <w:pPr>
      <w:tabs>
        <w:tab w:val="left" w:pos="8040"/>
      </w:tabs>
      <w:spacing w:before="0" w:line="240" w:lineRule="auto"/>
      <w:ind w:left="142" w:right="-1"/>
      <w:jc w:val="both"/>
    </w:pPr>
    <w:rPr>
      <w:rFonts w:eastAsia="Times New Roman" w:cs="Arial"/>
      <w:b/>
    </w:rPr>
  </w:style>
  <w:style w:type="character" w:customStyle="1" w:styleId="CabealhoChar">
    <w:name w:val="Cabeçalho Char"/>
    <w:basedOn w:val="Fontepargpadro"/>
    <w:link w:val="Cabealho"/>
    <w:uiPriority w:val="99"/>
    <w:rsid w:val="0058783C"/>
    <w:rPr>
      <w:rFonts w:eastAsia="Times New Roman" w:cs="Arial"/>
      <w:b/>
    </w:rPr>
  </w:style>
  <w:style w:type="paragraph" w:styleId="Rodap">
    <w:name w:val="footer"/>
    <w:basedOn w:val="Normal"/>
    <w:link w:val="RodapChar"/>
    <w:uiPriority w:val="99"/>
    <w:rsid w:val="006376F2"/>
    <w:pPr>
      <w:tabs>
        <w:tab w:val="left" w:pos="9639"/>
      </w:tabs>
      <w:spacing w:before="0" w:line="240" w:lineRule="auto"/>
      <w:ind w:left="176"/>
    </w:pPr>
    <w:rPr>
      <w:rFonts w:ascii="Times New Roman" w:hAnsi="Times New Roman"/>
      <w:sz w:val="16"/>
      <w:szCs w:val="16"/>
    </w:rPr>
  </w:style>
  <w:style w:type="character" w:customStyle="1" w:styleId="RodapChar">
    <w:name w:val="Rodapé Char"/>
    <w:basedOn w:val="Fontepargpadro"/>
    <w:link w:val="Rodap"/>
    <w:uiPriority w:val="99"/>
    <w:rsid w:val="006376F2"/>
    <w:rPr>
      <w:rFonts w:ascii="Times New Roman" w:hAnsi="Times New Roman"/>
      <w:sz w:val="16"/>
      <w:szCs w:val="16"/>
    </w:rPr>
  </w:style>
  <w:style w:type="character" w:styleId="Nmerodepgina">
    <w:name w:val="page number"/>
    <w:uiPriority w:val="99"/>
    <w:rsid w:val="006B5140"/>
    <w:rPr>
      <w:rFonts w:ascii="Times New Roman" w:hAnsi="Times New Roman" w:cs="Arial"/>
      <w:sz w:val="20"/>
      <w:szCs w:val="16"/>
    </w:rPr>
  </w:style>
  <w:style w:type="paragraph" w:styleId="Assinatura">
    <w:name w:val="Signature"/>
    <w:link w:val="AssinaturaChar"/>
    <w:uiPriority w:val="99"/>
    <w:rsid w:val="0058783C"/>
    <w:pPr>
      <w:adjustRightInd w:val="0"/>
      <w:spacing w:before="0" w:line="240" w:lineRule="auto"/>
      <w:jc w:val="center"/>
    </w:pPr>
    <w:rPr>
      <w:rFonts w:cs="Arial"/>
      <w:b/>
    </w:rPr>
  </w:style>
  <w:style w:type="character" w:customStyle="1" w:styleId="AssinaturaChar">
    <w:name w:val="Assinatura Char"/>
    <w:basedOn w:val="Fontepargpadro"/>
    <w:link w:val="Assinatura"/>
    <w:uiPriority w:val="99"/>
    <w:rsid w:val="0058783C"/>
    <w:rPr>
      <w:rFonts w:cs="Arial"/>
      <w:b/>
    </w:rPr>
  </w:style>
  <w:style w:type="paragraph" w:styleId="Data">
    <w:name w:val="Date"/>
    <w:basedOn w:val="Normal"/>
    <w:next w:val="Normal"/>
    <w:link w:val="DataChar"/>
    <w:uiPriority w:val="99"/>
    <w:rsid w:val="009B2EC5"/>
    <w:pPr>
      <w:adjustRightInd w:val="0"/>
      <w:spacing w:before="120"/>
      <w:ind w:right="-1"/>
      <w:jc w:val="center"/>
    </w:pPr>
    <w:rPr>
      <w:rFonts w:eastAsia="SimSun" w:cs="Arial"/>
      <w:bCs/>
      <w:iCs/>
      <w:lang w:eastAsia="ar-SA"/>
    </w:rPr>
  </w:style>
  <w:style w:type="character" w:customStyle="1" w:styleId="DataChar">
    <w:name w:val="Data Char"/>
    <w:basedOn w:val="Fontepargpadro"/>
    <w:link w:val="Data"/>
    <w:uiPriority w:val="99"/>
    <w:rsid w:val="009B2EC5"/>
    <w:rPr>
      <w:rFonts w:ascii="Arial" w:eastAsia="SimSun" w:hAnsi="Arial" w:cs="Arial"/>
      <w:bCs/>
      <w:iCs/>
      <w:sz w:val="24"/>
      <w:szCs w:val="24"/>
      <w:lang w:eastAsia="ar-SA"/>
    </w:rPr>
  </w:style>
  <w:style w:type="paragraph" w:customStyle="1" w:styleId="SubtituloManif">
    <w:name w:val="Subtitulo Manif"/>
    <w:basedOn w:val="Normal"/>
    <w:next w:val="Corpodetexto"/>
    <w:link w:val="SubtituloManifChar"/>
    <w:uiPriority w:val="1"/>
    <w:qFormat/>
    <w:rsid w:val="009B2EC5"/>
    <w:pPr>
      <w:ind w:left="142" w:right="708"/>
      <w:jc w:val="both"/>
    </w:pPr>
    <w:rPr>
      <w:rFonts w:eastAsia="SimSun"/>
      <w:szCs w:val="20"/>
      <w:u w:val="single"/>
      <w:lang w:eastAsia="ar-SA"/>
    </w:rPr>
  </w:style>
  <w:style w:type="paragraph" w:styleId="Corpodetexto">
    <w:name w:val="Body Text"/>
    <w:basedOn w:val="Normal"/>
    <w:link w:val="CorpodetextoChar"/>
    <w:qFormat/>
    <w:rsid w:val="0072243F"/>
  </w:style>
  <w:style w:type="character" w:customStyle="1" w:styleId="CorpodetextoChar">
    <w:name w:val="Corpo de texto Char"/>
    <w:basedOn w:val="Fontepargpadro"/>
    <w:link w:val="Corpodetexto"/>
    <w:rsid w:val="0072243F"/>
  </w:style>
  <w:style w:type="character" w:customStyle="1" w:styleId="SubtituloManifChar">
    <w:name w:val="Subtitulo Manif Char"/>
    <w:basedOn w:val="Fontepargpadro"/>
    <w:link w:val="SubtituloManif"/>
    <w:uiPriority w:val="1"/>
    <w:rsid w:val="00707954"/>
    <w:rPr>
      <w:rFonts w:eastAsia="SimSun"/>
      <w:szCs w:val="20"/>
      <w:u w:val="single"/>
      <w:lang w:eastAsia="ar-SA"/>
    </w:rPr>
  </w:style>
  <w:style w:type="paragraph" w:customStyle="1" w:styleId="Itemizao">
    <w:name w:val="Itemização"/>
    <w:uiPriority w:val="2"/>
    <w:qFormat/>
    <w:rsid w:val="00C96F25"/>
    <w:pPr>
      <w:numPr>
        <w:numId w:val="3"/>
      </w:numPr>
      <w:ind w:left="426" w:hanging="284"/>
      <w:jc w:val="both"/>
    </w:pPr>
    <w:rPr>
      <w:rFonts w:eastAsia="Times New Roman"/>
      <w:szCs w:val="20"/>
    </w:rPr>
  </w:style>
  <w:style w:type="table" w:styleId="Tabelacomgrade">
    <w:name w:val="Table Grid"/>
    <w:basedOn w:val="Tabelanormal"/>
    <w:rsid w:val="00A96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Manifestacao">
    <w:name w:val="Item Manifestacao"/>
    <w:next w:val="Corpodetexto"/>
    <w:link w:val="ItemManifestacaoChar"/>
    <w:uiPriority w:val="1"/>
    <w:qFormat/>
    <w:rsid w:val="00C96F25"/>
    <w:pPr>
      <w:numPr>
        <w:numId w:val="14"/>
      </w:numPr>
      <w:tabs>
        <w:tab w:val="left" w:pos="567"/>
      </w:tabs>
      <w:spacing w:line="240" w:lineRule="auto"/>
      <w:ind w:left="142" w:right="198" w:firstLine="0"/>
      <w:outlineLvl w:val="1"/>
    </w:pPr>
    <w:rPr>
      <w:rFonts w:eastAsia="Times New Roman" w:cs="Times New Roman"/>
      <w:b/>
      <w:szCs w:val="20"/>
    </w:rPr>
  </w:style>
  <w:style w:type="paragraph" w:styleId="Textodebalo">
    <w:name w:val="Balloon Text"/>
    <w:basedOn w:val="Normal"/>
    <w:link w:val="TextodebaloChar"/>
    <w:uiPriority w:val="99"/>
    <w:semiHidden/>
    <w:unhideWhenUsed/>
    <w:rsid w:val="005338CA"/>
    <w:rPr>
      <w:rFonts w:ascii="Tahoma" w:hAnsi="Tahoma" w:cs="Tahoma"/>
      <w:sz w:val="16"/>
      <w:szCs w:val="16"/>
    </w:rPr>
  </w:style>
  <w:style w:type="character" w:customStyle="1" w:styleId="TextodebaloChar">
    <w:name w:val="Texto de balão Char"/>
    <w:basedOn w:val="Fontepargpadro"/>
    <w:link w:val="Textodebalo"/>
    <w:uiPriority w:val="99"/>
    <w:semiHidden/>
    <w:rsid w:val="005338CA"/>
    <w:rPr>
      <w:rFonts w:ascii="Tahoma" w:hAnsi="Tahoma" w:cs="Tahoma"/>
      <w:sz w:val="16"/>
      <w:szCs w:val="16"/>
    </w:rPr>
  </w:style>
  <w:style w:type="character" w:customStyle="1" w:styleId="ItemManifestacaoChar">
    <w:name w:val="Item Manifestacao Char"/>
    <w:basedOn w:val="CorpodetextoChar"/>
    <w:link w:val="ItemManifestacao"/>
    <w:uiPriority w:val="1"/>
    <w:rsid w:val="00C96F25"/>
    <w:rPr>
      <w:rFonts w:eastAsia="Times New Roman" w:cs="Times New Roman"/>
      <w:b/>
      <w:szCs w:val="20"/>
    </w:rPr>
  </w:style>
  <w:style w:type="paragraph" w:customStyle="1" w:styleId="Concluses">
    <w:name w:val="Conclusões"/>
    <w:basedOn w:val="Ttulo2"/>
    <w:link w:val="ConclusesChar"/>
    <w:uiPriority w:val="1"/>
    <w:qFormat/>
    <w:rsid w:val="00C96F25"/>
    <w:rPr>
      <w:b w:val="0"/>
    </w:rPr>
  </w:style>
  <w:style w:type="character" w:customStyle="1" w:styleId="ConclusesChar">
    <w:name w:val="Conclusões Char"/>
    <w:basedOn w:val="Ttulo2Char"/>
    <w:link w:val="Concluses"/>
    <w:uiPriority w:val="1"/>
    <w:rsid w:val="00C96F25"/>
    <w:rPr>
      <w:rFonts w:eastAsia="Times New Roman" w:cs="Arial"/>
      <w:b w:val="0"/>
      <w:bCs/>
      <w:szCs w:val="20"/>
    </w:rPr>
  </w:style>
  <w:style w:type="paragraph" w:customStyle="1" w:styleId="Logo">
    <w:name w:val="Logo"/>
    <w:link w:val="LogoChar"/>
    <w:uiPriority w:val="99"/>
    <w:rsid w:val="0058783C"/>
    <w:pPr>
      <w:spacing w:before="0" w:line="240" w:lineRule="auto"/>
      <w:ind w:left="-68"/>
      <w:jc w:val="center"/>
    </w:pPr>
    <w:rPr>
      <w:rFonts w:ascii="Times New Roman" w:hAnsi="Times New Roman"/>
      <w:b/>
      <w:bCs/>
      <w:spacing w:val="4"/>
      <w:sz w:val="17"/>
      <w:szCs w:val="17"/>
    </w:rPr>
  </w:style>
  <w:style w:type="paragraph" w:customStyle="1" w:styleId="NProcesso">
    <w:name w:val="N_Processo"/>
    <w:uiPriority w:val="99"/>
    <w:rsid w:val="008E1ABE"/>
    <w:pPr>
      <w:framePr w:w="2431" w:h="433" w:hSpace="141" w:wrap="auto" w:vAnchor="text" w:hAnchor="page" w:x="9067" w:y="-1041"/>
      <w:spacing w:before="0" w:line="240" w:lineRule="auto"/>
      <w:ind w:right="136"/>
      <w:contextualSpacing/>
      <w:jc w:val="right"/>
    </w:pPr>
    <w:rPr>
      <w:rFonts w:cs="Arial"/>
      <w:bCs/>
    </w:rPr>
  </w:style>
  <w:style w:type="paragraph" w:styleId="Citao">
    <w:name w:val="Quote"/>
    <w:link w:val="CitaoChar"/>
    <w:uiPriority w:val="1"/>
    <w:qFormat/>
    <w:rsid w:val="00A3339E"/>
    <w:pPr>
      <w:spacing w:line="240" w:lineRule="auto"/>
      <w:ind w:left="2268"/>
      <w:jc w:val="both"/>
    </w:pPr>
    <w:rPr>
      <w:rFonts w:eastAsia="Times New Roman"/>
      <w:sz w:val="22"/>
      <w:szCs w:val="20"/>
    </w:rPr>
  </w:style>
  <w:style w:type="character" w:customStyle="1" w:styleId="CitaoChar">
    <w:name w:val="Citação Char"/>
    <w:basedOn w:val="Fontepargpadro"/>
    <w:link w:val="Citao"/>
    <w:uiPriority w:val="1"/>
    <w:rsid w:val="00A3339E"/>
    <w:rPr>
      <w:rFonts w:eastAsia="Times New Roman"/>
      <w:sz w:val="22"/>
      <w:szCs w:val="20"/>
    </w:rPr>
  </w:style>
  <w:style w:type="paragraph" w:styleId="Ttulo">
    <w:name w:val="Title"/>
    <w:basedOn w:val="Normal"/>
    <w:next w:val="Normal"/>
    <w:link w:val="TtuloChar"/>
    <w:uiPriority w:val="10"/>
    <w:rsid w:val="00FC264C"/>
    <w:pPr>
      <w:widowControl w:val="0"/>
      <w:spacing w:before="120"/>
      <w:jc w:val="center"/>
    </w:pPr>
    <w:rPr>
      <w:rFonts w:eastAsia="Times New Roman" w:cs="Arial"/>
      <w:b/>
      <w:bCs/>
      <w:iCs/>
    </w:rPr>
  </w:style>
  <w:style w:type="character" w:customStyle="1" w:styleId="TtuloChar">
    <w:name w:val="Título Char"/>
    <w:basedOn w:val="Fontepargpadro"/>
    <w:link w:val="Ttulo"/>
    <w:uiPriority w:val="10"/>
    <w:rsid w:val="00FC264C"/>
    <w:rPr>
      <w:rFonts w:eastAsia="Times New Roman" w:cs="Arial"/>
      <w:b/>
      <w:bCs/>
      <w:iCs/>
    </w:rPr>
  </w:style>
  <w:style w:type="paragraph" w:customStyle="1" w:styleId="Tabela-Ttulo">
    <w:name w:val="Tabela-Título"/>
    <w:uiPriority w:val="2"/>
    <w:qFormat/>
    <w:rsid w:val="00FC264C"/>
    <w:pPr>
      <w:spacing w:before="0" w:line="240" w:lineRule="auto"/>
      <w:jc w:val="center"/>
    </w:pPr>
    <w:rPr>
      <w:rFonts w:eastAsia="Times New Roman"/>
      <w:b/>
      <w:sz w:val="18"/>
      <w:szCs w:val="20"/>
    </w:rPr>
  </w:style>
  <w:style w:type="paragraph" w:customStyle="1" w:styleId="Tabela-texto">
    <w:name w:val="Tabela-texto"/>
    <w:basedOn w:val="Tabela-Ttulo"/>
    <w:uiPriority w:val="2"/>
    <w:qFormat/>
    <w:rsid w:val="00FC264C"/>
    <w:rPr>
      <w:b w:val="0"/>
    </w:rPr>
  </w:style>
  <w:style w:type="paragraph" w:styleId="Legenda">
    <w:name w:val="caption"/>
    <w:uiPriority w:val="35"/>
    <w:unhideWhenUsed/>
    <w:qFormat/>
    <w:rsid w:val="00702B16"/>
    <w:pPr>
      <w:spacing w:before="0" w:line="240" w:lineRule="auto"/>
    </w:pPr>
    <w:rPr>
      <w:bCs/>
      <w:sz w:val="20"/>
      <w:szCs w:val="18"/>
    </w:rPr>
  </w:style>
  <w:style w:type="paragraph" w:customStyle="1" w:styleId="Fonte">
    <w:name w:val="Fonte"/>
    <w:next w:val="Corpodetexto"/>
    <w:rsid w:val="00702B16"/>
    <w:pPr>
      <w:spacing w:before="0" w:line="240" w:lineRule="auto"/>
      <w:jc w:val="both"/>
    </w:pPr>
    <w:rPr>
      <w:rFonts w:eastAsia="Times New Roman"/>
      <w:sz w:val="16"/>
      <w:szCs w:val="20"/>
    </w:rPr>
  </w:style>
  <w:style w:type="paragraph" w:customStyle="1" w:styleId="Figura">
    <w:name w:val="Figura"/>
    <w:next w:val="Fonte"/>
    <w:rsid w:val="00702B16"/>
    <w:pPr>
      <w:spacing w:before="0" w:line="240" w:lineRule="auto"/>
      <w:jc w:val="center"/>
    </w:pPr>
    <w:rPr>
      <w:rFonts w:eastAsia="Times New Roman"/>
      <w:noProof/>
      <w:sz w:val="16"/>
      <w:szCs w:val="20"/>
    </w:rPr>
  </w:style>
  <w:style w:type="paragraph" w:styleId="Subttulo">
    <w:name w:val="Subtitle"/>
    <w:basedOn w:val="Normal"/>
    <w:next w:val="Normal"/>
    <w:link w:val="SubttuloChar"/>
    <w:uiPriority w:val="11"/>
    <w:rsid w:val="008E1AB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E1ABE"/>
    <w:rPr>
      <w:rFonts w:asciiTheme="majorHAnsi" w:eastAsiaTheme="majorEastAsia" w:hAnsiTheme="majorHAnsi" w:cstheme="majorBidi"/>
      <w:i/>
      <w:iCs/>
      <w:color w:val="4F81BD" w:themeColor="accent1"/>
      <w:spacing w:val="15"/>
    </w:rPr>
  </w:style>
  <w:style w:type="paragraph" w:customStyle="1" w:styleId="auxiliar1">
    <w:name w:val="auxiliar1"/>
    <w:basedOn w:val="Logo"/>
    <w:link w:val="auxiliar1Char"/>
    <w:rsid w:val="009121BE"/>
    <w:pPr>
      <w:ind w:left="0" w:right="357" w:firstLine="142"/>
      <w:jc w:val="left"/>
    </w:pPr>
    <w:rPr>
      <w:b w:val="0"/>
      <w:noProof/>
      <w:sz w:val="24"/>
      <w:szCs w:val="24"/>
    </w:rPr>
  </w:style>
  <w:style w:type="paragraph" w:customStyle="1" w:styleId="auxiliar2">
    <w:name w:val="auxiliar2"/>
    <w:basedOn w:val="Logo"/>
    <w:link w:val="auxiliar2Char"/>
    <w:rsid w:val="009121BE"/>
    <w:rPr>
      <w:sz w:val="6"/>
    </w:rPr>
  </w:style>
  <w:style w:type="character" w:customStyle="1" w:styleId="LogoChar">
    <w:name w:val="Logo Char"/>
    <w:basedOn w:val="Fontepargpadro"/>
    <w:link w:val="Logo"/>
    <w:uiPriority w:val="99"/>
    <w:rsid w:val="009121BE"/>
    <w:rPr>
      <w:rFonts w:ascii="Times New Roman" w:hAnsi="Times New Roman"/>
      <w:b/>
      <w:bCs/>
      <w:spacing w:val="4"/>
      <w:sz w:val="17"/>
      <w:szCs w:val="17"/>
    </w:rPr>
  </w:style>
  <w:style w:type="character" w:customStyle="1" w:styleId="auxiliar1Char">
    <w:name w:val="auxiliar1 Char"/>
    <w:basedOn w:val="LogoChar"/>
    <w:link w:val="auxiliar1"/>
    <w:rsid w:val="009121BE"/>
    <w:rPr>
      <w:rFonts w:ascii="Times New Roman" w:hAnsi="Times New Roman"/>
      <w:b w:val="0"/>
      <w:bCs/>
      <w:noProof/>
      <w:spacing w:val="4"/>
      <w:sz w:val="17"/>
      <w:szCs w:val="17"/>
    </w:rPr>
  </w:style>
  <w:style w:type="paragraph" w:customStyle="1" w:styleId="auxiliar3">
    <w:name w:val="auxiliar3"/>
    <w:basedOn w:val="Rodap"/>
    <w:link w:val="auxiliar3Char"/>
    <w:rsid w:val="009121BE"/>
    <w:pPr>
      <w:ind w:left="0"/>
    </w:pPr>
    <w:rPr>
      <w:sz w:val="2"/>
      <w:szCs w:val="2"/>
    </w:rPr>
  </w:style>
  <w:style w:type="character" w:customStyle="1" w:styleId="auxiliar2Char">
    <w:name w:val="auxiliar2 Char"/>
    <w:basedOn w:val="LogoChar"/>
    <w:link w:val="auxiliar2"/>
    <w:rsid w:val="009121BE"/>
    <w:rPr>
      <w:rFonts w:ascii="Times New Roman" w:hAnsi="Times New Roman"/>
      <w:b/>
      <w:bCs/>
      <w:spacing w:val="4"/>
      <w:sz w:val="6"/>
      <w:szCs w:val="17"/>
    </w:rPr>
  </w:style>
  <w:style w:type="character" w:customStyle="1" w:styleId="auxiliar3Char">
    <w:name w:val="auxiliar3 Char"/>
    <w:basedOn w:val="RodapChar"/>
    <w:link w:val="auxiliar3"/>
    <w:rsid w:val="009121BE"/>
    <w:rPr>
      <w:rFonts w:ascii="Times New Roman" w:hAnsi="Times New Roman"/>
      <w:sz w:val="2"/>
      <w:szCs w:val="2"/>
    </w:rPr>
  </w:style>
  <w:style w:type="paragraph" w:customStyle="1" w:styleId="Descrio">
    <w:name w:val="Descrição"/>
    <w:basedOn w:val="Cabealho"/>
    <w:link w:val="DescrioChar"/>
    <w:qFormat/>
    <w:rsid w:val="00F936AA"/>
    <w:pPr>
      <w:ind w:left="0" w:right="0"/>
      <w:jc w:val="center"/>
    </w:pPr>
  </w:style>
  <w:style w:type="character" w:customStyle="1" w:styleId="DescrioChar">
    <w:name w:val="Descrição Char"/>
    <w:basedOn w:val="CabealhoChar"/>
    <w:link w:val="Descrio"/>
    <w:rsid w:val="00F936AA"/>
    <w:rPr>
      <w:rFonts w:eastAsia="Times New Roman" w:cs="Arial"/>
      <w:b/>
    </w:rPr>
  </w:style>
  <w:style w:type="paragraph" w:customStyle="1" w:styleId="Carimbo">
    <w:name w:val="Carimbo"/>
    <w:basedOn w:val="Rodap"/>
    <w:link w:val="CarimboChar"/>
    <w:qFormat/>
    <w:rsid w:val="003D62A1"/>
    <w:pPr>
      <w:ind w:left="142"/>
    </w:pPr>
    <w:rPr>
      <w:sz w:val="22"/>
      <w:szCs w:val="22"/>
    </w:rPr>
  </w:style>
  <w:style w:type="paragraph" w:customStyle="1" w:styleId="Carimbo2">
    <w:name w:val="Carimbo2"/>
    <w:basedOn w:val="Carimbo"/>
    <w:link w:val="Carimbo2Char"/>
    <w:qFormat/>
    <w:rsid w:val="00900269"/>
    <w:pPr>
      <w:jc w:val="center"/>
    </w:pPr>
  </w:style>
  <w:style w:type="character" w:customStyle="1" w:styleId="CarimboChar">
    <w:name w:val="Carimbo Char"/>
    <w:basedOn w:val="RodapChar"/>
    <w:link w:val="Carimbo"/>
    <w:rsid w:val="003D62A1"/>
    <w:rPr>
      <w:rFonts w:ascii="Times New Roman" w:hAnsi="Times New Roman"/>
      <w:sz w:val="22"/>
      <w:szCs w:val="22"/>
    </w:rPr>
  </w:style>
  <w:style w:type="character" w:customStyle="1" w:styleId="Carimbo2Char">
    <w:name w:val="Carimbo2 Char"/>
    <w:basedOn w:val="CarimboChar"/>
    <w:link w:val="Carimbo2"/>
    <w:rsid w:val="00900269"/>
    <w:rPr>
      <w:rFonts w:ascii="Times New Roman" w:hAnsi="Times New Roman"/>
      <w:sz w:val="22"/>
      <w:szCs w:val="22"/>
    </w:rPr>
  </w:style>
  <w:style w:type="paragraph" w:styleId="Recuodecorpodetexto2">
    <w:name w:val="Body Text Indent 2"/>
    <w:basedOn w:val="Normal"/>
    <w:link w:val="Recuodecorpodetexto2Char"/>
    <w:uiPriority w:val="99"/>
    <w:semiHidden/>
    <w:unhideWhenUsed/>
    <w:rsid w:val="00B20A5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20A51"/>
  </w:style>
  <w:style w:type="paragraph" w:styleId="NormalWeb">
    <w:name w:val="Normal (Web)"/>
    <w:basedOn w:val="Normal"/>
    <w:uiPriority w:val="99"/>
    <w:semiHidden/>
    <w:unhideWhenUsed/>
    <w:rsid w:val="00F46249"/>
    <w:pPr>
      <w:spacing w:before="100" w:beforeAutospacing="1" w:after="100" w:afterAutospacing="1" w:line="240" w:lineRule="auto"/>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F46249"/>
    <w:pPr>
      <w:spacing w:before="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F46249"/>
    <w:rPr>
      <w:rFonts w:ascii="Times New Roman" w:eastAsia="Times New Roman" w:hAnsi="Times New Roman" w:cs="Times New Roman"/>
      <w:sz w:val="20"/>
      <w:szCs w:val="20"/>
    </w:rPr>
  </w:style>
  <w:style w:type="character" w:styleId="Refdenotaderodap">
    <w:name w:val="footnote reference"/>
    <w:semiHidden/>
    <w:unhideWhenUsed/>
    <w:rsid w:val="00F46249"/>
    <w:rPr>
      <w:vertAlign w:val="superscript"/>
    </w:rPr>
  </w:style>
  <w:style w:type="character" w:styleId="Hyperlink">
    <w:name w:val="Hyperlink"/>
    <w:basedOn w:val="Fontepargpadro"/>
    <w:uiPriority w:val="99"/>
    <w:semiHidden/>
    <w:unhideWhenUsed/>
    <w:rsid w:val="00977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2763">
          <w:marLeft w:val="-225"/>
          <w:marRight w:val="-225"/>
          <w:marTop w:val="0"/>
          <w:marBottom w:val="0"/>
          <w:divBdr>
            <w:top w:val="none" w:sz="0" w:space="0" w:color="auto"/>
            <w:left w:val="none" w:sz="0" w:space="0" w:color="auto"/>
            <w:bottom w:val="none" w:sz="0" w:space="0" w:color="auto"/>
            <w:right w:val="none" w:sz="0" w:space="0" w:color="auto"/>
          </w:divBdr>
        </w:div>
      </w:divsChild>
    </w:div>
    <w:div w:id="1035934051">
      <w:bodyDiv w:val="1"/>
      <w:marLeft w:val="0"/>
      <w:marRight w:val="0"/>
      <w:marTop w:val="0"/>
      <w:marBottom w:val="0"/>
      <w:divBdr>
        <w:top w:val="none" w:sz="0" w:space="0" w:color="auto"/>
        <w:left w:val="none" w:sz="0" w:space="0" w:color="auto"/>
        <w:bottom w:val="none" w:sz="0" w:space="0" w:color="auto"/>
        <w:right w:val="none" w:sz="0" w:space="0" w:color="auto"/>
      </w:divBdr>
    </w:div>
    <w:div w:id="15005421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553001982">
          <w:marLeft w:val="0"/>
          <w:marRight w:val="0"/>
          <w:marTop w:val="0"/>
          <w:marBottom w:val="0"/>
          <w:divBdr>
            <w:top w:val="none" w:sz="0" w:space="0" w:color="auto"/>
            <w:left w:val="none" w:sz="0" w:space="0" w:color="auto"/>
            <w:bottom w:val="none" w:sz="0" w:space="0" w:color="auto"/>
            <w:right w:val="none" w:sz="0" w:space="0" w:color="auto"/>
          </w:divBdr>
        </w:div>
        <w:div w:id="1477912696">
          <w:marLeft w:val="0"/>
          <w:marRight w:val="0"/>
          <w:marTop w:val="0"/>
          <w:marBottom w:val="0"/>
          <w:divBdr>
            <w:top w:val="none" w:sz="0" w:space="0" w:color="auto"/>
            <w:left w:val="none" w:sz="0" w:space="0" w:color="auto"/>
            <w:bottom w:val="none" w:sz="0" w:space="0" w:color="auto"/>
            <w:right w:val="none" w:sz="0" w:space="0" w:color="auto"/>
          </w:divBdr>
        </w:div>
        <w:div w:id="364907159">
          <w:marLeft w:val="0"/>
          <w:marRight w:val="0"/>
          <w:marTop w:val="0"/>
          <w:marBottom w:val="0"/>
          <w:divBdr>
            <w:top w:val="none" w:sz="0" w:space="0" w:color="auto"/>
            <w:left w:val="none" w:sz="0" w:space="0" w:color="auto"/>
            <w:bottom w:val="none" w:sz="0" w:space="0" w:color="auto"/>
            <w:right w:val="none" w:sz="0" w:space="0" w:color="auto"/>
          </w:divBdr>
        </w:div>
        <w:div w:id="1371955412">
          <w:marLeft w:val="0"/>
          <w:marRight w:val="0"/>
          <w:marTop w:val="0"/>
          <w:marBottom w:val="0"/>
          <w:divBdr>
            <w:top w:val="none" w:sz="0" w:space="0" w:color="auto"/>
            <w:left w:val="none" w:sz="0" w:space="0" w:color="auto"/>
            <w:bottom w:val="none" w:sz="0" w:space="0" w:color="auto"/>
            <w:right w:val="none" w:sz="0" w:space="0" w:color="auto"/>
          </w:divBdr>
        </w:div>
      </w:divsChild>
    </w:div>
    <w:div w:id="21302016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926">
          <w:marLeft w:val="0"/>
          <w:marRight w:val="0"/>
          <w:marTop w:val="0"/>
          <w:marBottom w:val="0"/>
          <w:divBdr>
            <w:top w:val="none" w:sz="0" w:space="0" w:color="auto"/>
            <w:left w:val="none" w:sz="0" w:space="0" w:color="auto"/>
            <w:bottom w:val="none" w:sz="0" w:space="0" w:color="auto"/>
            <w:right w:val="none" w:sz="0" w:space="0" w:color="auto"/>
          </w:divBdr>
          <w:divsChild>
            <w:div w:id="1617834587">
              <w:marLeft w:val="0"/>
              <w:marRight w:val="0"/>
              <w:marTop w:val="0"/>
              <w:marBottom w:val="360"/>
              <w:divBdr>
                <w:top w:val="none" w:sz="0" w:space="0" w:color="auto"/>
                <w:left w:val="none" w:sz="0" w:space="0" w:color="auto"/>
                <w:bottom w:val="none" w:sz="0" w:space="0" w:color="auto"/>
                <w:right w:val="none" w:sz="0" w:space="0" w:color="auto"/>
              </w:divBdr>
              <w:divsChild>
                <w:div w:id="761219223">
                  <w:marLeft w:val="0"/>
                  <w:marRight w:val="0"/>
                  <w:marTop w:val="96"/>
                  <w:marBottom w:val="0"/>
                  <w:divBdr>
                    <w:top w:val="none" w:sz="0" w:space="0" w:color="auto"/>
                    <w:left w:val="none" w:sz="0" w:space="0" w:color="auto"/>
                    <w:bottom w:val="none" w:sz="0" w:space="0" w:color="auto"/>
                    <w:right w:val="none" w:sz="0" w:space="0" w:color="auto"/>
                  </w:divBdr>
                </w:div>
              </w:divsChild>
            </w:div>
            <w:div w:id="1285961660">
              <w:marLeft w:val="0"/>
              <w:marRight w:val="0"/>
              <w:marTop w:val="0"/>
              <w:marBottom w:val="0"/>
              <w:divBdr>
                <w:top w:val="none" w:sz="0" w:space="0" w:color="auto"/>
                <w:left w:val="none" w:sz="0" w:space="0" w:color="auto"/>
                <w:bottom w:val="none" w:sz="0" w:space="0" w:color="auto"/>
                <w:right w:val="none" w:sz="0" w:space="0" w:color="auto"/>
              </w:divBdr>
              <w:divsChild>
                <w:div w:id="1475562550">
                  <w:marLeft w:val="0"/>
                  <w:marRight w:val="0"/>
                  <w:marTop w:val="0"/>
                  <w:marBottom w:val="0"/>
                  <w:divBdr>
                    <w:top w:val="none" w:sz="0" w:space="0" w:color="auto"/>
                    <w:left w:val="none" w:sz="0" w:space="0" w:color="auto"/>
                    <w:bottom w:val="none" w:sz="0" w:space="0" w:color="auto"/>
                    <w:right w:val="none" w:sz="0" w:space="0" w:color="auto"/>
                  </w:divBdr>
                </w:div>
                <w:div w:id="1532914130">
                  <w:marLeft w:val="0"/>
                  <w:marRight w:val="0"/>
                  <w:marTop w:val="672"/>
                  <w:marBottom w:val="0"/>
                  <w:divBdr>
                    <w:top w:val="none" w:sz="0" w:space="0" w:color="auto"/>
                    <w:left w:val="none" w:sz="0" w:space="0" w:color="auto"/>
                    <w:bottom w:val="none" w:sz="0" w:space="0" w:color="auto"/>
                    <w:right w:val="none" w:sz="0" w:space="0" w:color="auto"/>
                  </w:divBdr>
                </w:div>
              </w:divsChild>
            </w:div>
            <w:div w:id="1547527270">
              <w:marLeft w:val="0"/>
              <w:marRight w:val="-450"/>
              <w:marTop w:val="0"/>
              <w:marBottom w:val="0"/>
              <w:divBdr>
                <w:top w:val="none" w:sz="0" w:space="0" w:color="auto"/>
                <w:left w:val="none" w:sz="0" w:space="0" w:color="auto"/>
                <w:bottom w:val="none" w:sz="0" w:space="0" w:color="auto"/>
                <w:right w:val="none" w:sz="0" w:space="0" w:color="auto"/>
              </w:divBdr>
              <w:divsChild>
                <w:div w:id="1281033740">
                  <w:marLeft w:val="0"/>
                  <w:marRight w:val="0"/>
                  <w:marTop w:val="0"/>
                  <w:marBottom w:val="0"/>
                  <w:divBdr>
                    <w:top w:val="none" w:sz="0" w:space="0" w:color="auto"/>
                    <w:left w:val="none" w:sz="0" w:space="0" w:color="auto"/>
                    <w:bottom w:val="none" w:sz="0" w:space="0" w:color="auto"/>
                    <w:right w:val="none" w:sz="0" w:space="0" w:color="auto"/>
                  </w:divBdr>
                  <w:divsChild>
                    <w:div w:id="763308117">
                      <w:marLeft w:val="0"/>
                      <w:marRight w:val="0"/>
                      <w:marTop w:val="0"/>
                      <w:marBottom w:val="0"/>
                      <w:divBdr>
                        <w:top w:val="none" w:sz="0" w:space="0" w:color="auto"/>
                        <w:left w:val="none" w:sz="0" w:space="0" w:color="auto"/>
                        <w:bottom w:val="none" w:sz="0" w:space="0" w:color="auto"/>
                        <w:right w:val="none" w:sz="0" w:space="0" w:color="auto"/>
                      </w:divBdr>
                    </w:div>
                  </w:divsChild>
                </w:div>
                <w:div w:id="754132170">
                  <w:marLeft w:val="0"/>
                  <w:marRight w:val="0"/>
                  <w:marTop w:val="0"/>
                  <w:marBottom w:val="0"/>
                  <w:divBdr>
                    <w:top w:val="none" w:sz="0" w:space="0" w:color="auto"/>
                    <w:left w:val="none" w:sz="0" w:space="0" w:color="auto"/>
                    <w:bottom w:val="none" w:sz="0" w:space="0" w:color="auto"/>
                    <w:right w:val="none" w:sz="0" w:space="0" w:color="auto"/>
                  </w:divBdr>
                  <w:divsChild>
                    <w:div w:id="2617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3025">
              <w:marLeft w:val="0"/>
              <w:marRight w:val="0"/>
              <w:marTop w:val="0"/>
              <w:marBottom w:val="0"/>
              <w:divBdr>
                <w:top w:val="none" w:sz="0" w:space="0" w:color="auto"/>
                <w:left w:val="none" w:sz="0" w:space="0" w:color="auto"/>
                <w:bottom w:val="none" w:sz="0" w:space="0" w:color="auto"/>
                <w:right w:val="none" w:sz="0" w:space="0" w:color="auto"/>
              </w:divBdr>
              <w:divsChild>
                <w:div w:id="581792544">
                  <w:marLeft w:val="0"/>
                  <w:marRight w:val="0"/>
                  <w:marTop w:val="0"/>
                  <w:marBottom w:val="0"/>
                  <w:divBdr>
                    <w:top w:val="none" w:sz="0" w:space="0" w:color="auto"/>
                    <w:left w:val="none" w:sz="0" w:space="0" w:color="auto"/>
                    <w:bottom w:val="none" w:sz="0" w:space="0" w:color="auto"/>
                    <w:right w:val="none" w:sz="0" w:space="0" w:color="auto"/>
                  </w:divBdr>
                  <w:divsChild>
                    <w:div w:id="722561392">
                      <w:marLeft w:val="0"/>
                      <w:marRight w:val="0"/>
                      <w:marTop w:val="0"/>
                      <w:marBottom w:val="0"/>
                      <w:divBdr>
                        <w:top w:val="none" w:sz="0" w:space="0" w:color="auto"/>
                        <w:left w:val="none" w:sz="0" w:space="0" w:color="auto"/>
                        <w:bottom w:val="none" w:sz="0" w:space="0" w:color="auto"/>
                        <w:right w:val="none" w:sz="0" w:space="0" w:color="auto"/>
                      </w:divBdr>
                      <w:divsChild>
                        <w:div w:id="1169708069">
                          <w:marLeft w:val="0"/>
                          <w:marRight w:val="0"/>
                          <w:marTop w:val="0"/>
                          <w:marBottom w:val="312"/>
                          <w:divBdr>
                            <w:top w:val="none" w:sz="0" w:space="0" w:color="auto"/>
                            <w:left w:val="none" w:sz="0" w:space="0" w:color="auto"/>
                            <w:bottom w:val="none" w:sz="0" w:space="0" w:color="auto"/>
                            <w:right w:val="none" w:sz="0" w:space="0" w:color="auto"/>
                          </w:divBdr>
                        </w:div>
                        <w:div w:id="592662883">
                          <w:marLeft w:val="0"/>
                          <w:marRight w:val="0"/>
                          <w:marTop w:val="0"/>
                          <w:marBottom w:val="312"/>
                          <w:divBdr>
                            <w:top w:val="none" w:sz="0" w:space="0" w:color="auto"/>
                            <w:left w:val="none" w:sz="0" w:space="0" w:color="auto"/>
                            <w:bottom w:val="none" w:sz="0" w:space="0" w:color="auto"/>
                            <w:right w:val="none" w:sz="0" w:space="0" w:color="auto"/>
                          </w:divBdr>
                        </w:div>
                        <w:div w:id="166169011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591471068">
          <w:marLeft w:val="0"/>
          <w:marRight w:val="0"/>
          <w:marTop w:val="0"/>
          <w:marBottom w:val="0"/>
          <w:divBdr>
            <w:top w:val="none" w:sz="0" w:space="0" w:color="auto"/>
            <w:left w:val="none" w:sz="0" w:space="0" w:color="auto"/>
            <w:bottom w:val="none" w:sz="0" w:space="0" w:color="auto"/>
            <w:right w:val="none" w:sz="0" w:space="0" w:color="auto"/>
          </w:divBdr>
          <w:divsChild>
            <w:div w:id="1583640104">
              <w:marLeft w:val="0"/>
              <w:marRight w:val="0"/>
              <w:marTop w:val="0"/>
              <w:marBottom w:val="0"/>
              <w:divBdr>
                <w:top w:val="none" w:sz="0" w:space="0" w:color="auto"/>
                <w:left w:val="none" w:sz="0" w:space="0" w:color="auto"/>
                <w:bottom w:val="none" w:sz="0" w:space="0" w:color="auto"/>
                <w:right w:val="none" w:sz="0" w:space="0" w:color="auto"/>
              </w:divBdr>
              <w:divsChild>
                <w:div w:id="285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lumis/portal/file/fileDownload.jsp?fileId=8A8182A24D6E86A4014D72AC81CA540A&amp;inlin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9CFF-91C1-4CA0-87C9-AC2DBE6E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5452</Words>
  <Characters>30921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36301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Luz Gonçalves Inoue</dc:creator>
  <cp:lastModifiedBy>Carla Pinheiro Silva</cp:lastModifiedBy>
  <cp:revision>4</cp:revision>
  <cp:lastPrinted>2006-04-18T14:36:00Z</cp:lastPrinted>
  <dcterms:created xsi:type="dcterms:W3CDTF">2020-04-30T20:28:00Z</dcterms:created>
  <dcterms:modified xsi:type="dcterms:W3CDTF">2020-05-01T18:42:00Z</dcterms:modified>
</cp:coreProperties>
</file>