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0CB8" w:rsidRDefault="00B70CB8" w:rsidP="00B214DF">
      <w:pPr>
        <w:shd w:val="clear" w:color="auto" w:fill="FFFFFF"/>
        <w:spacing w:before="120" w:after="120" w:line="240" w:lineRule="auto"/>
        <w:jc w:val="both"/>
        <w:outlineLvl w:val="0"/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pt-BR"/>
        </w:rPr>
      </w:pPr>
      <w:r>
        <w:fldChar w:fldCharType="begin"/>
      </w:r>
      <w:r>
        <w:instrText xml:space="preserve"> HYPERLINK "https://lfg.jusbrasil.com.br/noticias/2891282/acerca-das-parcerias-publico-privadas-o-que-se-entende-por-concessao-patrocinada-e-concessao-administrativa-denise-cristina-mantovani-cera" </w:instrText>
      </w:r>
      <w:r>
        <w:fldChar w:fldCharType="separate"/>
      </w:r>
      <w:r>
        <w:rPr>
          <w:rStyle w:val="Hyperlink"/>
        </w:rPr>
        <w:t>https://lfg.jusbrasil.com.br/noticias/2891282/acerca-das-parcerias-publico-privadas-o-que-se-entende-por-concessao-patrocinada-e-concessao-administrativa-denise-cristina-mantovani-cera</w:t>
      </w:r>
      <w:r>
        <w:fldChar w:fldCharType="end"/>
      </w:r>
    </w:p>
    <w:p w:rsidR="00B70CB8" w:rsidRPr="00B70CB8" w:rsidRDefault="00B70CB8" w:rsidP="00B214DF">
      <w:pPr>
        <w:shd w:val="clear" w:color="auto" w:fill="FFFFFF"/>
        <w:spacing w:before="120" w:after="120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0"/>
          <w:szCs w:val="20"/>
          <w:lang w:eastAsia="pt-BR"/>
        </w:rPr>
      </w:pPr>
      <w:r w:rsidRPr="00B70CB8">
        <w:rPr>
          <w:rFonts w:ascii="Segoe UI" w:eastAsia="Times New Roman" w:hAnsi="Segoe UI" w:cs="Segoe UI"/>
          <w:b/>
          <w:bCs/>
          <w:kern w:val="36"/>
          <w:sz w:val="20"/>
          <w:szCs w:val="20"/>
          <w:lang w:eastAsia="pt-BR"/>
        </w:rPr>
        <w:t xml:space="preserve">Acerca das </w:t>
      </w:r>
      <w:proofErr w:type="gramStart"/>
      <w:r w:rsidRPr="00B70CB8">
        <w:rPr>
          <w:rFonts w:ascii="Segoe UI" w:eastAsia="Times New Roman" w:hAnsi="Segoe UI" w:cs="Segoe UI"/>
          <w:b/>
          <w:bCs/>
          <w:kern w:val="36"/>
          <w:sz w:val="20"/>
          <w:szCs w:val="20"/>
          <w:lang w:eastAsia="pt-BR"/>
        </w:rPr>
        <w:t>Parcerias Público-Privadas</w:t>
      </w:r>
      <w:proofErr w:type="gramEnd"/>
      <w:r w:rsidRPr="00B70CB8">
        <w:rPr>
          <w:rFonts w:ascii="Segoe UI" w:eastAsia="Times New Roman" w:hAnsi="Segoe UI" w:cs="Segoe UI"/>
          <w:b/>
          <w:bCs/>
          <w:kern w:val="36"/>
          <w:sz w:val="20"/>
          <w:szCs w:val="20"/>
          <w:lang w:eastAsia="pt-BR"/>
        </w:rPr>
        <w:t>, o que se entende por concessão patrocinada e concessão administrativa? - Denise Cristina Mantovani Cera</w:t>
      </w:r>
    </w:p>
    <w:p w:rsidR="00B70CB8" w:rsidRDefault="00B70CB8" w:rsidP="00B214DF">
      <w:pPr>
        <w:spacing w:after="0" w:line="240" w:lineRule="auto"/>
        <w:jc w:val="both"/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</w:pPr>
      <w:r w:rsidRPr="00B70CB8"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  <w:t>A Lei </w:t>
      </w:r>
      <w:hyperlink r:id="rId5" w:tooltip="Lei no 11.079, de 30 de dezembro de 2004." w:history="1">
        <w:r w:rsidRPr="00B70CB8">
          <w:rPr>
            <w:rFonts w:ascii="Georgia" w:eastAsia="Times New Roman" w:hAnsi="Georgia" w:cs="Times New Roman"/>
            <w:color w:val="0275D8"/>
            <w:spacing w:val="2"/>
            <w:sz w:val="30"/>
            <w:szCs w:val="30"/>
            <w:u w:val="single"/>
            <w:lang w:eastAsia="pt-BR"/>
          </w:rPr>
          <w:t>11.079</w:t>
        </w:r>
      </w:hyperlink>
      <w:r w:rsidRPr="00B70CB8"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  <w:t>/2004 trouxe uma nova espécie de concessão de serviço e de obra pública as Parcerias Público-Privadas. O contrato de Parceria Público-Privada é uma modalidade especial de contrato de concessão, pois a lei impõe regras específicas às características gerais trazidas pela legislação anterior.</w:t>
      </w:r>
    </w:p>
    <w:p w:rsidR="00B214DF" w:rsidRPr="00B70CB8" w:rsidRDefault="00B214DF" w:rsidP="00B214DF">
      <w:pPr>
        <w:spacing w:after="0" w:line="240" w:lineRule="auto"/>
        <w:jc w:val="both"/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</w:pPr>
    </w:p>
    <w:p w:rsidR="00B70CB8" w:rsidRPr="00B70CB8" w:rsidRDefault="00B70CB8" w:rsidP="00B214DF">
      <w:pPr>
        <w:spacing w:after="480" w:line="240" w:lineRule="auto"/>
        <w:jc w:val="both"/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</w:pPr>
      <w:r w:rsidRPr="00B70CB8"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  <w:t xml:space="preserve">De acordo com o artigo 2º da referida lei, a </w:t>
      </w:r>
      <w:proofErr w:type="gramStart"/>
      <w:r w:rsidRPr="00B70CB8"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  <w:t>Parceria público-privada</w:t>
      </w:r>
      <w:proofErr w:type="gramEnd"/>
      <w:r w:rsidRPr="00B70CB8"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  <w:t xml:space="preserve"> é o contrato administrativo de concessão, na modalidade patrocinada ou administrativa.</w:t>
      </w:r>
    </w:p>
    <w:p w:rsidR="00B70CB8" w:rsidRDefault="00B70CB8" w:rsidP="00B214DF">
      <w:pPr>
        <w:spacing w:after="0" w:line="240" w:lineRule="auto"/>
        <w:jc w:val="both"/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</w:pPr>
      <w:r w:rsidRPr="00B70CB8"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  <w:t>A </w:t>
      </w:r>
      <w:r w:rsidRPr="00B70CB8">
        <w:rPr>
          <w:rFonts w:ascii="Georgia" w:eastAsia="Times New Roman" w:hAnsi="Georgia" w:cs="Times New Roman"/>
          <w:b/>
          <w:bCs/>
          <w:spacing w:val="2"/>
          <w:sz w:val="30"/>
          <w:szCs w:val="30"/>
          <w:lang w:eastAsia="pt-BR"/>
        </w:rPr>
        <w:t xml:space="preserve">concessão especial </w:t>
      </w:r>
      <w:proofErr w:type="gramStart"/>
      <w:r w:rsidRPr="00B70CB8">
        <w:rPr>
          <w:rFonts w:ascii="Georgia" w:eastAsia="Times New Roman" w:hAnsi="Georgia" w:cs="Times New Roman"/>
          <w:b/>
          <w:bCs/>
          <w:spacing w:val="2"/>
          <w:sz w:val="30"/>
          <w:szCs w:val="30"/>
          <w:lang w:eastAsia="pt-BR"/>
        </w:rPr>
        <w:t>patrocinada </w:t>
      </w:r>
      <w:r w:rsidRPr="00B70CB8"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  <w:t>,</w:t>
      </w:r>
      <w:proofErr w:type="gramEnd"/>
      <w:r w:rsidRPr="00B70CB8"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  <w:t xml:space="preserve"> a mais utilizada, é uma concessão comum em que há a presença de recurso público obrigatoriamente. Ou seja, o Estado tem que bancar parte do investimento. Assim, tem-se a tarifa do usuário, mais o recurso público. Exemplo: construção de rodovias.</w:t>
      </w:r>
    </w:p>
    <w:p w:rsidR="00B214DF" w:rsidRPr="00B70CB8" w:rsidRDefault="00B214DF" w:rsidP="00B214DF">
      <w:pPr>
        <w:spacing w:after="0" w:line="240" w:lineRule="auto"/>
        <w:jc w:val="both"/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</w:pPr>
    </w:p>
    <w:p w:rsidR="00B70CB8" w:rsidRDefault="00B70CB8" w:rsidP="00B214DF">
      <w:pPr>
        <w:spacing w:after="0" w:line="240" w:lineRule="auto"/>
        <w:jc w:val="both"/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</w:pPr>
      <w:r w:rsidRPr="00B70CB8">
        <w:rPr>
          <w:rFonts w:ascii="Georgia" w:eastAsia="Times New Roman" w:hAnsi="Georgia" w:cs="Times New Roman"/>
          <w:b/>
          <w:bCs/>
          <w:spacing w:val="2"/>
          <w:sz w:val="30"/>
          <w:szCs w:val="30"/>
          <w:lang w:eastAsia="pt-BR"/>
        </w:rPr>
        <w:t>Lei </w:t>
      </w:r>
      <w:hyperlink r:id="rId6" w:tooltip="Lei no 11.079, de 30 de dezembro de 2004." w:history="1">
        <w:r w:rsidRPr="00B70CB8">
          <w:rPr>
            <w:rFonts w:ascii="Georgia" w:eastAsia="Times New Roman" w:hAnsi="Georgia" w:cs="Times New Roman"/>
            <w:b/>
            <w:bCs/>
            <w:color w:val="0275D8"/>
            <w:spacing w:val="2"/>
            <w:sz w:val="30"/>
            <w:szCs w:val="30"/>
            <w:u w:val="single"/>
            <w:lang w:eastAsia="pt-BR"/>
          </w:rPr>
          <w:t>11.079</w:t>
        </w:r>
      </w:hyperlink>
      <w:r w:rsidRPr="00B70CB8">
        <w:rPr>
          <w:rFonts w:ascii="Georgia" w:eastAsia="Times New Roman" w:hAnsi="Georgia" w:cs="Times New Roman"/>
          <w:b/>
          <w:bCs/>
          <w:spacing w:val="2"/>
          <w:sz w:val="30"/>
          <w:szCs w:val="30"/>
          <w:lang w:eastAsia="pt-BR"/>
        </w:rPr>
        <w:t>/2004: Art. </w:t>
      </w:r>
      <w:hyperlink r:id="rId7" w:tooltip="Artigo 2 da Lei nº 8.987 de 13 de Fevereiro de 1995" w:history="1">
        <w:r w:rsidRPr="00B70CB8">
          <w:rPr>
            <w:rFonts w:ascii="Georgia" w:eastAsia="Times New Roman" w:hAnsi="Georgia" w:cs="Times New Roman"/>
            <w:b/>
            <w:bCs/>
            <w:color w:val="0275D8"/>
            <w:spacing w:val="2"/>
            <w:sz w:val="30"/>
            <w:szCs w:val="30"/>
            <w:u w:val="single"/>
            <w:lang w:eastAsia="pt-BR"/>
          </w:rPr>
          <w:t>2º</w:t>
        </w:r>
      </w:hyperlink>
      <w:r w:rsidRPr="00B70CB8">
        <w:rPr>
          <w:rFonts w:ascii="Georgia" w:eastAsia="Times New Roman" w:hAnsi="Georgia" w:cs="Times New Roman"/>
          <w:b/>
          <w:bCs/>
          <w:spacing w:val="2"/>
          <w:sz w:val="30"/>
          <w:szCs w:val="30"/>
          <w:lang w:eastAsia="pt-BR"/>
        </w:rPr>
        <w:t>, § 1º </w:t>
      </w:r>
      <w:r w:rsidRPr="00B70CB8">
        <w:rPr>
          <w:rFonts w:ascii="Georgia" w:eastAsia="Times New Roman" w:hAnsi="Georgia" w:cs="Times New Roman"/>
          <w:spacing w:val="2"/>
          <w:sz w:val="30"/>
          <w:szCs w:val="30"/>
          <w:u w:val="single"/>
          <w:lang w:eastAsia="pt-BR"/>
        </w:rPr>
        <w:t>Concessão patrocinada </w:t>
      </w:r>
      <w:r w:rsidRPr="00B70CB8"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  <w:t>é a concessão de serviços públicos ou de obras públicas de que trata a Lei no </w:t>
      </w:r>
      <w:hyperlink r:id="rId8" w:tooltip="Lei nº 8.987, de 13 de fevereiro de 1995." w:history="1">
        <w:r w:rsidRPr="00B70CB8">
          <w:rPr>
            <w:rFonts w:ascii="Georgia" w:eastAsia="Times New Roman" w:hAnsi="Georgia" w:cs="Times New Roman"/>
            <w:color w:val="0275D8"/>
            <w:spacing w:val="2"/>
            <w:sz w:val="30"/>
            <w:szCs w:val="30"/>
            <w:u w:val="single"/>
            <w:lang w:eastAsia="pt-BR"/>
          </w:rPr>
          <w:t>8.987</w:t>
        </w:r>
      </w:hyperlink>
      <w:r w:rsidRPr="00B70CB8"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  <w:t>, de 13 de fevereiro de 1995, quando envolver, </w:t>
      </w:r>
      <w:r w:rsidRPr="00B70CB8">
        <w:rPr>
          <w:rFonts w:ascii="Georgia" w:eastAsia="Times New Roman" w:hAnsi="Georgia" w:cs="Times New Roman"/>
          <w:spacing w:val="2"/>
          <w:sz w:val="30"/>
          <w:szCs w:val="30"/>
          <w:u w:val="single"/>
          <w:lang w:eastAsia="pt-BR"/>
        </w:rPr>
        <w:t xml:space="preserve">adicionalmente à tarifa cobrada dos usuários </w:t>
      </w:r>
      <w:proofErr w:type="gramStart"/>
      <w:r w:rsidRPr="00B70CB8">
        <w:rPr>
          <w:rFonts w:ascii="Georgia" w:eastAsia="Times New Roman" w:hAnsi="Georgia" w:cs="Times New Roman"/>
          <w:spacing w:val="2"/>
          <w:sz w:val="30"/>
          <w:szCs w:val="30"/>
          <w:u w:val="single"/>
          <w:lang w:eastAsia="pt-BR"/>
        </w:rPr>
        <w:t>contraprestação</w:t>
      </w:r>
      <w:proofErr w:type="gramEnd"/>
      <w:r w:rsidRPr="00B70CB8">
        <w:rPr>
          <w:rFonts w:ascii="Georgia" w:eastAsia="Times New Roman" w:hAnsi="Georgia" w:cs="Times New Roman"/>
          <w:spacing w:val="2"/>
          <w:sz w:val="30"/>
          <w:szCs w:val="30"/>
          <w:u w:val="single"/>
          <w:lang w:eastAsia="pt-BR"/>
        </w:rPr>
        <w:t xml:space="preserve"> pecuniária do parceiro público ao parceiro privado </w:t>
      </w:r>
      <w:r w:rsidRPr="00B70CB8"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  <w:t>.</w:t>
      </w:r>
    </w:p>
    <w:p w:rsidR="00B214DF" w:rsidRPr="00B70CB8" w:rsidRDefault="00B214DF" w:rsidP="00B214DF">
      <w:pPr>
        <w:spacing w:after="0" w:line="240" w:lineRule="auto"/>
        <w:jc w:val="both"/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</w:pPr>
    </w:p>
    <w:p w:rsidR="00B70CB8" w:rsidRDefault="00B70CB8" w:rsidP="00B214DF">
      <w:pPr>
        <w:spacing w:after="0" w:line="240" w:lineRule="auto"/>
        <w:jc w:val="both"/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</w:pPr>
      <w:r w:rsidRPr="00B70CB8"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  <w:t>A </w:t>
      </w:r>
      <w:r w:rsidRPr="00B70CB8">
        <w:rPr>
          <w:rFonts w:ascii="Georgia" w:eastAsia="Times New Roman" w:hAnsi="Georgia" w:cs="Times New Roman"/>
          <w:b/>
          <w:bCs/>
          <w:spacing w:val="2"/>
          <w:sz w:val="30"/>
          <w:szCs w:val="30"/>
          <w:lang w:eastAsia="pt-BR"/>
        </w:rPr>
        <w:t xml:space="preserve">concessão especial </w:t>
      </w:r>
      <w:proofErr w:type="gramStart"/>
      <w:r w:rsidRPr="00B70CB8">
        <w:rPr>
          <w:rFonts w:ascii="Georgia" w:eastAsia="Times New Roman" w:hAnsi="Georgia" w:cs="Times New Roman"/>
          <w:b/>
          <w:bCs/>
          <w:spacing w:val="2"/>
          <w:sz w:val="30"/>
          <w:szCs w:val="30"/>
          <w:lang w:eastAsia="pt-BR"/>
        </w:rPr>
        <w:t>administrativa </w:t>
      </w:r>
      <w:r w:rsidRPr="00B70CB8"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  <w:t>,</w:t>
      </w:r>
      <w:proofErr w:type="gramEnd"/>
      <w:r w:rsidRPr="00B70CB8"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  <w:t xml:space="preserve"> modalidade muito criticada pela doutrina, ocorre quando a própria Administração é a usuária do serviço. Exemplo: o parceiro privado constrói um presídio e a Administração é a usuária indireta, pois os presos são usuários diretos.</w:t>
      </w:r>
    </w:p>
    <w:p w:rsidR="00B214DF" w:rsidRPr="00B70CB8" w:rsidRDefault="00B214DF" w:rsidP="00B214DF">
      <w:pPr>
        <w:spacing w:after="0" w:line="240" w:lineRule="auto"/>
        <w:jc w:val="both"/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</w:pPr>
    </w:p>
    <w:p w:rsidR="00B70CB8" w:rsidRDefault="00B70CB8" w:rsidP="00B214DF">
      <w:pPr>
        <w:spacing w:after="0" w:line="240" w:lineRule="auto"/>
        <w:jc w:val="both"/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</w:pPr>
      <w:r w:rsidRPr="00B70CB8">
        <w:rPr>
          <w:rFonts w:ascii="Georgia" w:eastAsia="Times New Roman" w:hAnsi="Georgia" w:cs="Times New Roman"/>
          <w:b/>
          <w:bCs/>
          <w:spacing w:val="2"/>
          <w:sz w:val="30"/>
          <w:szCs w:val="30"/>
          <w:lang w:eastAsia="pt-BR"/>
        </w:rPr>
        <w:t>Lei </w:t>
      </w:r>
      <w:hyperlink r:id="rId9" w:tooltip="Lei no 11.079, de 30 de dezembro de 2004." w:history="1">
        <w:r w:rsidRPr="00B70CB8">
          <w:rPr>
            <w:rFonts w:ascii="Georgia" w:eastAsia="Times New Roman" w:hAnsi="Georgia" w:cs="Times New Roman"/>
            <w:b/>
            <w:bCs/>
            <w:color w:val="0275D8"/>
            <w:spacing w:val="2"/>
            <w:sz w:val="30"/>
            <w:szCs w:val="30"/>
            <w:u w:val="single"/>
            <w:lang w:eastAsia="pt-BR"/>
          </w:rPr>
          <w:t>11.079</w:t>
        </w:r>
      </w:hyperlink>
      <w:r w:rsidRPr="00B70CB8">
        <w:rPr>
          <w:rFonts w:ascii="Georgia" w:eastAsia="Times New Roman" w:hAnsi="Georgia" w:cs="Times New Roman"/>
          <w:b/>
          <w:bCs/>
          <w:spacing w:val="2"/>
          <w:sz w:val="30"/>
          <w:szCs w:val="30"/>
          <w:lang w:eastAsia="pt-BR"/>
        </w:rPr>
        <w:t>/2004: Art. 2º, § 2º </w:t>
      </w:r>
      <w:r w:rsidRPr="00B70CB8"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  <w:t>Concessão administrativa é o contrato de prestação de serviços de que a Administração Pública seja a usuária direta ou indireta, ainda que envolva execução de obra ou fornecimento e instalação de bens.</w:t>
      </w:r>
    </w:p>
    <w:p w:rsidR="00B214DF" w:rsidRPr="00B70CB8" w:rsidRDefault="00B214DF" w:rsidP="00B214DF">
      <w:pPr>
        <w:spacing w:after="0" w:line="240" w:lineRule="auto"/>
        <w:jc w:val="both"/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</w:pPr>
    </w:p>
    <w:p w:rsidR="00B70CB8" w:rsidRDefault="00B70CB8" w:rsidP="00B214DF">
      <w:pPr>
        <w:spacing w:after="0" w:line="240" w:lineRule="auto"/>
        <w:jc w:val="both"/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</w:pPr>
      <w:r w:rsidRPr="00B70CB8">
        <w:rPr>
          <w:rFonts w:ascii="Georgia" w:eastAsia="Times New Roman" w:hAnsi="Georgia" w:cs="Times New Roman"/>
          <w:spacing w:val="2"/>
          <w:sz w:val="30"/>
          <w:szCs w:val="30"/>
          <w:highlight w:val="yellow"/>
          <w:lang w:eastAsia="pt-BR"/>
        </w:rPr>
        <w:lastRenderedPageBreak/>
        <w:t>É importante chamar a atenção que o § 3º do artigo 2º apregoa no sentido de que não constitui parceria público-privada a concessão comum. Além disso, o mesmo dispositivo define concessão comum como sendo a concessão de serviços públicos ou de obras públicas de que trata a Lei </w:t>
      </w:r>
      <w:hyperlink r:id="rId10" w:tooltip="Lei nº 8.987, de 13 de fevereiro de 1995." w:history="1">
        <w:r w:rsidRPr="00B70CB8">
          <w:rPr>
            <w:rFonts w:ascii="Georgia" w:eastAsia="Times New Roman" w:hAnsi="Georgia" w:cs="Times New Roman"/>
            <w:color w:val="0275D8"/>
            <w:spacing w:val="2"/>
            <w:sz w:val="30"/>
            <w:szCs w:val="30"/>
            <w:highlight w:val="yellow"/>
            <w:u w:val="single"/>
            <w:lang w:eastAsia="pt-BR"/>
          </w:rPr>
          <w:t>8.987</w:t>
        </w:r>
      </w:hyperlink>
      <w:r w:rsidRPr="00B70CB8">
        <w:rPr>
          <w:rFonts w:ascii="Georgia" w:eastAsia="Times New Roman" w:hAnsi="Georgia" w:cs="Times New Roman"/>
          <w:spacing w:val="2"/>
          <w:sz w:val="30"/>
          <w:szCs w:val="30"/>
          <w:highlight w:val="yellow"/>
          <w:lang w:eastAsia="pt-BR"/>
        </w:rPr>
        <w:t>/95, que não envolve contraprestação pecuniária do parceiro público ao parceiro privado.</w:t>
      </w:r>
    </w:p>
    <w:p w:rsidR="00B214DF" w:rsidRPr="00B70CB8" w:rsidRDefault="00B214DF" w:rsidP="00B214DF">
      <w:pPr>
        <w:spacing w:after="0" w:line="240" w:lineRule="auto"/>
        <w:jc w:val="both"/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</w:pPr>
    </w:p>
    <w:p w:rsidR="00B70CB8" w:rsidRPr="00B70CB8" w:rsidRDefault="00B70CB8" w:rsidP="00B214DF">
      <w:pPr>
        <w:spacing w:after="0" w:line="240" w:lineRule="auto"/>
        <w:jc w:val="both"/>
        <w:rPr>
          <w:rFonts w:ascii="Georgia" w:eastAsia="Times New Roman" w:hAnsi="Georgia" w:cs="Times New Roman"/>
          <w:spacing w:val="2"/>
          <w:sz w:val="30"/>
          <w:szCs w:val="30"/>
          <w:lang w:eastAsia="pt-BR"/>
        </w:rPr>
      </w:pPr>
      <w:r w:rsidRPr="00B70CB8">
        <w:rPr>
          <w:rFonts w:ascii="Georgia" w:eastAsia="Times New Roman" w:hAnsi="Georgia" w:cs="Times New Roman"/>
          <w:b/>
          <w:bCs/>
          <w:spacing w:val="2"/>
          <w:sz w:val="30"/>
          <w:szCs w:val="30"/>
          <w:highlight w:val="yellow"/>
          <w:lang w:eastAsia="pt-BR"/>
        </w:rPr>
        <w:t>Lei </w:t>
      </w:r>
      <w:hyperlink r:id="rId11" w:tooltip="Lei no 11.079, de 30 de dezembro de 2004." w:history="1">
        <w:r w:rsidRPr="00B70CB8">
          <w:rPr>
            <w:rFonts w:ascii="Georgia" w:eastAsia="Times New Roman" w:hAnsi="Georgia" w:cs="Times New Roman"/>
            <w:b/>
            <w:bCs/>
            <w:color w:val="0275D8"/>
            <w:spacing w:val="2"/>
            <w:sz w:val="30"/>
            <w:szCs w:val="30"/>
            <w:highlight w:val="yellow"/>
            <w:u w:val="single"/>
            <w:lang w:eastAsia="pt-BR"/>
          </w:rPr>
          <w:t>11.079</w:t>
        </w:r>
      </w:hyperlink>
      <w:r w:rsidRPr="00B70CB8">
        <w:rPr>
          <w:rFonts w:ascii="Georgia" w:eastAsia="Times New Roman" w:hAnsi="Georgia" w:cs="Times New Roman"/>
          <w:b/>
          <w:bCs/>
          <w:spacing w:val="2"/>
          <w:sz w:val="30"/>
          <w:szCs w:val="30"/>
          <w:highlight w:val="yellow"/>
          <w:lang w:eastAsia="pt-BR"/>
        </w:rPr>
        <w:t>/2004: Art. </w:t>
      </w:r>
      <w:hyperlink r:id="rId12" w:tooltip="Artigo 2 da Lei nº 8.987 de 13 de Fevereiro de 1995" w:history="1">
        <w:r w:rsidRPr="00B70CB8">
          <w:rPr>
            <w:rFonts w:ascii="Georgia" w:eastAsia="Times New Roman" w:hAnsi="Georgia" w:cs="Times New Roman"/>
            <w:b/>
            <w:bCs/>
            <w:color w:val="0275D8"/>
            <w:spacing w:val="2"/>
            <w:sz w:val="30"/>
            <w:szCs w:val="30"/>
            <w:highlight w:val="yellow"/>
            <w:u w:val="single"/>
            <w:lang w:eastAsia="pt-BR"/>
          </w:rPr>
          <w:t>2º</w:t>
        </w:r>
      </w:hyperlink>
      <w:r w:rsidRPr="00B70CB8">
        <w:rPr>
          <w:rFonts w:ascii="Georgia" w:eastAsia="Times New Roman" w:hAnsi="Georgia" w:cs="Times New Roman"/>
          <w:b/>
          <w:bCs/>
          <w:spacing w:val="2"/>
          <w:sz w:val="30"/>
          <w:szCs w:val="30"/>
          <w:highlight w:val="yellow"/>
          <w:lang w:eastAsia="pt-BR"/>
        </w:rPr>
        <w:t>, § 3º </w:t>
      </w:r>
      <w:r w:rsidRPr="00B70CB8">
        <w:rPr>
          <w:rFonts w:ascii="Georgia" w:eastAsia="Times New Roman" w:hAnsi="Georgia" w:cs="Times New Roman"/>
          <w:spacing w:val="2"/>
          <w:sz w:val="30"/>
          <w:szCs w:val="30"/>
          <w:highlight w:val="yellow"/>
          <w:lang w:eastAsia="pt-BR"/>
        </w:rPr>
        <w:t>Não constitui parceria público-privada a concessão comum, assim entendida a concessão de serviços públicos ou de obras públicas de que trata a Lei no </w:t>
      </w:r>
      <w:hyperlink r:id="rId13" w:tooltip="Lei nº 8.987, de 13 de fevereiro de 1995." w:history="1">
        <w:r w:rsidRPr="00B70CB8">
          <w:rPr>
            <w:rFonts w:ascii="Georgia" w:eastAsia="Times New Roman" w:hAnsi="Georgia" w:cs="Times New Roman"/>
            <w:color w:val="0275D8"/>
            <w:spacing w:val="2"/>
            <w:sz w:val="30"/>
            <w:szCs w:val="30"/>
            <w:highlight w:val="yellow"/>
            <w:u w:val="single"/>
            <w:lang w:eastAsia="pt-BR"/>
          </w:rPr>
          <w:t>8.987</w:t>
        </w:r>
      </w:hyperlink>
      <w:r w:rsidRPr="00B70CB8">
        <w:rPr>
          <w:rFonts w:ascii="Georgia" w:eastAsia="Times New Roman" w:hAnsi="Georgia" w:cs="Times New Roman"/>
          <w:spacing w:val="2"/>
          <w:sz w:val="30"/>
          <w:szCs w:val="30"/>
          <w:highlight w:val="yellow"/>
          <w:lang w:eastAsia="pt-BR"/>
        </w:rPr>
        <w:t>, de 13 de fevereiro de 1995, </w:t>
      </w:r>
      <w:r w:rsidRPr="00B70CB8">
        <w:rPr>
          <w:rFonts w:ascii="Georgia" w:eastAsia="Times New Roman" w:hAnsi="Georgia" w:cs="Times New Roman"/>
          <w:spacing w:val="2"/>
          <w:sz w:val="30"/>
          <w:szCs w:val="30"/>
          <w:highlight w:val="yellow"/>
          <w:u w:val="single"/>
          <w:lang w:eastAsia="pt-BR"/>
        </w:rPr>
        <w:t xml:space="preserve">quando não envolver contraprestação pecuniária do parceiro público ao parceiro </w:t>
      </w:r>
      <w:proofErr w:type="gramStart"/>
      <w:r w:rsidRPr="00B70CB8">
        <w:rPr>
          <w:rFonts w:ascii="Georgia" w:eastAsia="Times New Roman" w:hAnsi="Georgia" w:cs="Times New Roman"/>
          <w:spacing w:val="2"/>
          <w:sz w:val="30"/>
          <w:szCs w:val="30"/>
          <w:highlight w:val="yellow"/>
          <w:u w:val="single"/>
          <w:lang w:eastAsia="pt-BR"/>
        </w:rPr>
        <w:t>privado </w:t>
      </w:r>
      <w:r w:rsidRPr="00B70CB8">
        <w:rPr>
          <w:rFonts w:ascii="Georgia" w:eastAsia="Times New Roman" w:hAnsi="Georgia" w:cs="Times New Roman"/>
          <w:spacing w:val="2"/>
          <w:sz w:val="30"/>
          <w:szCs w:val="30"/>
          <w:highlight w:val="yellow"/>
          <w:lang w:eastAsia="pt-BR"/>
        </w:rPr>
        <w:t>.</w:t>
      </w:r>
      <w:proofErr w:type="gramEnd"/>
    </w:p>
    <w:p w:rsidR="009A58B4" w:rsidRDefault="009A58B4" w:rsidP="00B70CB8">
      <w:pPr>
        <w:ind w:left="-709"/>
      </w:pPr>
    </w:p>
    <w:p w:rsidR="00B214DF" w:rsidRDefault="00B214DF" w:rsidP="00B70CB8">
      <w:pPr>
        <w:ind w:left="-709"/>
      </w:pPr>
      <w:r>
        <w:t>MINISTÉRIO DA ECONOMIA – PERGUNTAS FREQUENTES</w:t>
      </w:r>
    </w:p>
    <w:p w:rsidR="00B214DF" w:rsidRDefault="00B214DF" w:rsidP="00B70CB8">
      <w:pPr>
        <w:ind w:left="-709"/>
      </w:pPr>
      <w:hyperlink r:id="rId14" w:history="1">
        <w:r>
          <w:rPr>
            <w:rStyle w:val="Hyperlink"/>
          </w:rPr>
          <w:t>http://www.planejamento.gov.br/assuntos/desenvolvimento/parcerias-publico-privadas/referencias/copy_of_perguntas-frequentes</w:t>
        </w:r>
      </w:hyperlink>
    </w:p>
    <w:p w:rsidR="00B214DF" w:rsidRPr="00C3605E" w:rsidRDefault="00B214DF" w:rsidP="00B214D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  <w:highlight w:val="yellow"/>
        </w:rPr>
      </w:pPr>
      <w:r w:rsidRPr="00C3605E">
        <w:rPr>
          <w:rStyle w:val="Forte"/>
          <w:rFonts w:ascii="Arial" w:hAnsi="Arial" w:cs="Arial"/>
          <w:i/>
          <w:iCs/>
          <w:color w:val="000000"/>
          <w:sz w:val="21"/>
          <w:szCs w:val="21"/>
          <w:highlight w:val="yellow"/>
        </w:rPr>
        <w:t>Qual é a diferença entre PPP e Concessão Comum?</w:t>
      </w:r>
      <w:r w:rsidRPr="00C3605E">
        <w:rPr>
          <w:rFonts w:ascii="Arial" w:hAnsi="Arial" w:cs="Arial"/>
          <w:color w:val="000000"/>
          <w:sz w:val="21"/>
          <w:szCs w:val="21"/>
          <w:highlight w:val="yellow"/>
        </w:rPr>
        <w:br/>
        <w:t>Segundo a Lei 11.079/2004, "Não constitui parceria público-privada a concessão comum, assim entendida a concessão de serviços públicos ou de obras públicas de que trata a Lei no 8.987, de 13 de fevereiro de 1995, quando não envolver contraprestação pecuniária do parceiro público ao parceiro privado.</w:t>
      </w:r>
      <w:proofErr w:type="gramStart"/>
      <w:r w:rsidRPr="00C3605E">
        <w:rPr>
          <w:rFonts w:ascii="Arial" w:hAnsi="Arial" w:cs="Arial"/>
          <w:color w:val="000000"/>
          <w:sz w:val="21"/>
          <w:szCs w:val="21"/>
          <w:highlight w:val="yellow"/>
        </w:rPr>
        <w:t>"</w:t>
      </w:r>
      <w:proofErr w:type="gramEnd"/>
    </w:p>
    <w:p w:rsidR="00B214DF" w:rsidRDefault="00B214DF" w:rsidP="00B214DF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C3605E">
        <w:rPr>
          <w:rFonts w:ascii="Arial" w:hAnsi="Arial" w:cs="Arial"/>
          <w:color w:val="000000"/>
          <w:sz w:val="21"/>
          <w:szCs w:val="21"/>
          <w:highlight w:val="yellow"/>
        </w:rPr>
        <w:t>Em termos mais simples, a diferença básica entre parceria público-privada e concessão comum é a remuneração do parceiro privado. Nas concessões comuns a remuneração do concessionário advém exclusivamente das tarifas cobradas aos usuários, nas parcerias público-privadas há pagamento de contraprestação pela Administração Pública, com ou sem cobrança de tarifa dos usuários.</w:t>
      </w:r>
    </w:p>
    <w:p w:rsidR="00B214DF" w:rsidRDefault="00B214DF" w:rsidP="00B214D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i/>
          <w:iCs/>
          <w:color w:val="000000"/>
          <w:sz w:val="21"/>
          <w:szCs w:val="21"/>
        </w:rPr>
        <w:t>O que é Concessão Patrocinada?</w:t>
      </w:r>
      <w:r>
        <w:rPr>
          <w:rFonts w:ascii="Arial" w:hAnsi="Arial" w:cs="Arial"/>
          <w:color w:val="000000"/>
          <w:sz w:val="21"/>
          <w:szCs w:val="21"/>
        </w:rPr>
        <w:br/>
        <w:t xml:space="preserve">Concessão patrocinada é a concessão de serviços públicos ou de obras públicas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no moldes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da Lei 8.987, de 13 de fevereiro de 1995 que, adicionalmente à tarifa cobrada dos usuários, envolve o pagamento de uma contraprestação pecuniária por parte do governo ao agente privado (§ 1º do art. 2º da Lei n.º 11.079, de 2004).</w:t>
      </w:r>
    </w:p>
    <w:p w:rsidR="00B214DF" w:rsidRDefault="00B214DF" w:rsidP="00B214D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i/>
          <w:iCs/>
          <w:color w:val="000000"/>
          <w:sz w:val="21"/>
          <w:szCs w:val="21"/>
        </w:rPr>
        <w:lastRenderedPageBreak/>
        <w:t>Qual a legislação aplicável às concessões patrocinadas?</w:t>
      </w:r>
      <w:r>
        <w:rPr>
          <w:rFonts w:ascii="Arial" w:hAnsi="Arial" w:cs="Arial"/>
          <w:color w:val="000000"/>
          <w:sz w:val="21"/>
          <w:szCs w:val="21"/>
        </w:rPr>
        <w:br/>
        <w:t xml:space="preserve">As concessões patrocinadas regem-se pela Lei n.º 11.079, de 2004,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aplicando-se-lhes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subsidiariamente o disposto na Lei nº 8.987, de 1995, e nas leis que lhe são correlatas. (§ 1º do art. 3º da Lei n.º 11.079, de 2004).</w:t>
      </w:r>
    </w:p>
    <w:p w:rsidR="00B214DF" w:rsidRDefault="00B214DF" w:rsidP="00B214D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nfase"/>
          <w:rFonts w:ascii="Arial" w:hAnsi="Arial" w:cs="Arial"/>
          <w:b/>
          <w:bCs/>
          <w:color w:val="000000"/>
          <w:sz w:val="21"/>
          <w:szCs w:val="21"/>
        </w:rPr>
        <w:t>O que é Concessão Administrativa?</w:t>
      </w:r>
      <w:r>
        <w:rPr>
          <w:rFonts w:ascii="Arial" w:hAnsi="Arial" w:cs="Arial"/>
          <w:color w:val="000000"/>
          <w:sz w:val="21"/>
          <w:szCs w:val="21"/>
        </w:rPr>
        <w:br/>
        <w:t>Concessão administrativa é contrato de prestação de serviços de que a Administração Pública seja a usuária direta ou indireta, ainda que envolva execução de obra ou fornecimento e instalação de bens. (§ 2º do art. 2º da Lei n.º 11.079, de 2004).</w:t>
      </w:r>
    </w:p>
    <w:p w:rsidR="00B214DF" w:rsidRDefault="00B214DF" w:rsidP="00B214D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i/>
          <w:iCs/>
          <w:color w:val="000000"/>
          <w:sz w:val="21"/>
          <w:szCs w:val="21"/>
        </w:rPr>
        <w:t>Qual a legislação aplicável às concessões administrativas?</w:t>
      </w:r>
      <w:r>
        <w:rPr>
          <w:rFonts w:ascii="Arial" w:hAnsi="Arial" w:cs="Arial"/>
          <w:color w:val="000000"/>
          <w:sz w:val="21"/>
          <w:szCs w:val="21"/>
        </w:rPr>
        <w:br/>
        <w:t xml:space="preserve">As concessões administrativas regem-se pela Lei n.º 11.079, de 2004,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aplicando-se-lhes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adicionalmente o disposto nos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arts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21, 23, 25 e 27 a 39 da Lei nº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8.987, de 1995, e no art. 31 da Lei nº 9.074, de 1995. (art. 3º da Lei n.º 11.079, de 2004).</w:t>
      </w:r>
    </w:p>
    <w:p w:rsidR="00B214DF" w:rsidRDefault="00B214DF" w:rsidP="00B70CB8">
      <w:pPr>
        <w:ind w:left="-709"/>
      </w:pPr>
    </w:p>
    <w:p w:rsidR="00C3605E" w:rsidRDefault="00C3605E" w:rsidP="00B70CB8">
      <w:pPr>
        <w:ind w:left="-709"/>
      </w:pPr>
      <w:hyperlink r:id="rId15" w:history="1">
        <w:r>
          <w:rPr>
            <w:rStyle w:val="Hyperlink"/>
          </w:rPr>
          <w:t>http://www.sedep.com.br/artigos/contraprestacao-nos-contratos-de-concessao-patrocinada/</w:t>
        </w:r>
      </w:hyperlink>
    </w:p>
    <w:p w:rsidR="00C3605E" w:rsidRPr="00C3605E" w:rsidRDefault="00C3605E" w:rsidP="00C3605E">
      <w:pPr>
        <w:spacing w:after="225" w:line="600" w:lineRule="atLeast"/>
        <w:outlineLvl w:val="0"/>
        <w:rPr>
          <w:rFonts w:ascii="Roboto" w:eastAsia="Times New Roman" w:hAnsi="Roboto" w:cs="Times New Roman"/>
          <w:color w:val="00174D"/>
          <w:kern w:val="36"/>
          <w:sz w:val="45"/>
          <w:szCs w:val="45"/>
          <w:lang w:eastAsia="pt-BR"/>
        </w:rPr>
      </w:pPr>
      <w:r w:rsidRPr="00C3605E">
        <w:rPr>
          <w:rFonts w:ascii="Roboto" w:eastAsia="Times New Roman" w:hAnsi="Roboto" w:cs="Times New Roman"/>
          <w:color w:val="00174D"/>
          <w:kern w:val="36"/>
          <w:sz w:val="45"/>
          <w:szCs w:val="45"/>
          <w:lang w:eastAsia="pt-BR"/>
        </w:rPr>
        <w:t>Contraprestação nos contratos de concessão patrocinada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A Lei 11.079 de 2004 previu duas novas modalidades de concessão (patrocinada e administrativa) e reuniu-as sob a classe do que chamou Parcerias Público-Privadas.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O traço distintivo entre as duas modalidades de concessão, assim como em relação às concessões comuns, reside exatamente nas regras de remuneração do setor privado. A concessão administrativa se distingue das demais em razão da remuneração do setor privado originar-se exclusivamente do setor público e, simultaneamente, ser impossível quer do ponto de vista jurídico, quer sob o prisma econômico, a tarifação do serviço; a comum é aquela em que a tarifa paga pelo usuário do serviço ou da </w:t>
      </w:r>
      <w:proofErr w:type="spellStart"/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infra-estrutura</w:t>
      </w:r>
      <w:proofErr w:type="spellEnd"/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 concedida constitui a totalidade da receita do concessionário; e, finalmente, a patrocinada, em que uma conjunção das contribuições dos usuários e do setor público compõem as receitas do parceiro privado.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A questão que pretendemos abordar neste pequeno texto refere-se às possibilidades legais à disposição dos projetos de parceria público-privada no sentido de viabilizar a contraprestação pecuniária da administração pública em favor do setor privado nos contratos de concessão patrocinada.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A Lei 11.079 assim tratou o tema: “A contraprestação da Administração Pública nos contratos de parceria público-privada poderá ser feita por: </w:t>
      </w:r>
      <w:proofErr w:type="spell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I-ordem</w:t>
      </w:r>
      <w:proofErr w:type="spell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 bancária; II- cessão de créditos não tributários; III – outorga de direitos em face da Administração Pública; </w:t>
      </w: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lastRenderedPageBreak/>
        <w:t>IV – outorga de direitos sobre bens públicos dominicais; V- outros meios admitidos em lei.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”</w:t>
      </w:r>
      <w:proofErr w:type="gramEnd"/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A distinção entre os modelos de concessões existentes após o advento da Lei 11.079 deve ser construída, pelo intérprete, com rigor lógico e sistematização dos três institutos, 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sob pena</w:t>
      </w:r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 de, aplicando-se isoladamente os textos normativos, chegar-se a verdadeiras teratologias e, pior, construções que negam umas as outras.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Com efeito, 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mister</w:t>
      </w:r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 observar, inicialmente o regramento da concessão comum, tal como desenhado pela Lei 8987/95. Os elementos essenciais do instituto e que aqui nos interessam podem ser assim resumidos: I – Delegação pela Administração da execução de um serviço público ou da exploração de uma </w:t>
      </w:r>
      <w:proofErr w:type="spellStart"/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infra-estrutura</w:t>
      </w:r>
      <w:proofErr w:type="spellEnd"/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; II – remuneração exclusivamente paga pelo usuário através de tarifa.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Para a consecução do objetivo de uma concessão comum é usual a administração ceder ao concessionário 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a</w:t>
      </w:r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 outorga de direitos em face da administração pública ou, ainda mais usual, ceder a outorga de direitos sobre bens dominicais. Portanto, as hipóteses legais descritas no artigo 6º da Lei 11.079, merecem interpretação criteriosa, 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sob pena</w:t>
      </w:r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 de se nominar concessão patrocinada a simples concessão comum.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highlight w:val="yellow"/>
          <w:lang w:eastAsia="pt-BR"/>
        </w:rPr>
        <w:t>Quem antes sistematizou tal interpretação foi Mário Engler Pinto Junior, procurador do Estado de São Paulo e ex-presidente da Companhia Paulista de Parcerias, em competentíssimo ensaio, neste particular, assim lançado: “No caso de outras contrapartidas estatais (v.g. outorga de direitos em face da Administração ou sobre bens dominicais), não faz sentido o regramento especial da Lei n. 11.079/04, que claramente foi idealizado para lidar com a presença de contraprestação pecuniária. Portanto, é natural que a relação jurídica seja tratada como concessão comum e continue sob a égide da Lei 8.987.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highlight w:val="yellow"/>
          <w:lang w:eastAsia="pt-BR"/>
        </w:rPr>
        <w:t>”</w:t>
      </w:r>
      <w:proofErr w:type="gramEnd"/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Tal digressão foi necessária para reduzirmos o objeto desta singela reflexão a apenas e tão somente à previsão da contraprestação pecuniária a ser paga em dinheiro pela administração.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Neste particular, os projetos de PPP postos em andamento no Brasil têm indicado duas espécies de contraprestação: (i) uma quantia em dinheiro a ser paga pela administração ao concessionário, fixada na proposta comercial, normalmente limitada no seu máximo pelo Edital de licitação e sem qualquer relação com a tarifa a ser cobrada do usuário; (</w:t>
      </w:r>
      <w:proofErr w:type="spellStart"/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ii</w:t>
      </w:r>
      <w:proofErr w:type="spellEnd"/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) outra, uma promessa de pagamento de quantia em dinheiro referente a um adicional tarifário que complemente as receitas necessárias para a manutenção de um equilíbrio econômico-financeiro.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Pois bem. Em relação à primeira, importante destacar que qualquer pagamento do setor público ao setor privado dependerá da prévia disponibilização do serviço objeto do contrato de parceria público-privada. A meu ver, o legislador errou neste aspecto. Ao proibir à administração adiantar valores a título de contraprestação pecuniária, obrigou o parceiro privado a financiar todo o capital necessário à construção da </w:t>
      </w:r>
      <w:proofErr w:type="spellStart"/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infra-estrutura</w:t>
      </w:r>
      <w:proofErr w:type="spellEnd"/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 no mercado financeiro ou em agências de desenvolvimento. Desse modo, obrigou a administração a suportar o custo do capital mesmo quando ela própria possua os recursos que poderia aportar durante a construção, diminuindo sensivelmente os custos dos projetos.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lastRenderedPageBreak/>
        <w:t xml:space="preserve">A outra possibilidade usual é a complementação tarifária. Esta evidentemente pode ser fixa, variável e dependente ou não de certos eventos. Também com acerto Mário Engler leciona com clareza ímpar: “Vale dizer, o complemento tarifário, não obstante já regulamentado contratualmente, pode ter caráter contingente (i.e. ficar sujeito 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a</w:t>
      </w:r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 condição suspensiva) e somente se tornar devido em hipóteses previamente estabelecidas. Isso ocorre normalmente quando o poder concedente quiser manter a discricionariedade da política tarifária em face do usuário e, ao mesmo tempo, assegurar ao concessionário uma remuneração reajustável periodicamente por índice pré-determinado de preço ou custo.”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O edital da Linha 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4</w:t>
      </w:r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 amarela do Metrô de São Paulo prevê a conjugação das duas modalidades acima descritas. O edital fixou uma tarifa remuneração 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desvinculada</w:t>
      </w:r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 da tarifa do usuário que poderá ou não exigir uma complementação pelo Estado. Mas também previu a disposição da administração em pagar uma quantia fixa, após o início da operação comercial. A complementação tarifária foi revestida de um regramento tal como descrito acima por Mário Engler. O usuário continuará pagando a tarifa a ser fixada pelo Poder Concedente, como instrumento de realização de política pública e social. O concessionário fará jus ao recebimento de uma tarifa em razão de cada usuário transportado, sujeita a reajustes previstos contratualmente. Ao longo da vigência contratual (30 anos) é possível que a tarifa paga pelo usuário descole da tarifa 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contratual, inicialmente fixadas em valores idênticos</w:t>
      </w:r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. Se isso ocorrer de forma favorável ao concessionário, competirá ao Poder Concedente efetuar o pagamento da diferença. Caso contrário, ou seja, caso a tarifa contratual seja inferior 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a</w:t>
      </w:r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 cobrada do usuário, a diferença assistirá ao Poder Concedente.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highlight w:val="yellow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highlight w:val="yellow"/>
          <w:lang w:eastAsia="pt-BR"/>
        </w:rPr>
        <w:t xml:space="preserve">O certo é que 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highlight w:val="yellow"/>
          <w:lang w:eastAsia="pt-BR"/>
        </w:rPr>
        <w:t>a contraprestação, quando fixada exclusivamente nessa modalidade é, como já frisado, contingente</w:t>
      </w:r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highlight w:val="yellow"/>
          <w:lang w:eastAsia="pt-BR"/>
        </w:rPr>
        <w:t>. Poderá ou não ocorrer. E, nessa hipótese, apresenta-se a dúvida: em qual modalidade de concessão enquadrar um modelo dessa natureza?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highlight w:val="yellow"/>
          <w:lang w:eastAsia="pt-BR"/>
        </w:rPr>
        <w:t xml:space="preserve">A mim me parece, sem sombra de dúvidas, que a contingência, aqui, determina, obrigatoriamente, a escolha pelo modelo regido pela Lei 11.079. E, também me parece, que a questão é de fácil deslinde. 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highlight w:val="yellow"/>
          <w:lang w:eastAsia="pt-BR"/>
        </w:rPr>
        <w:t>Na medida que</w:t>
      </w:r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highlight w:val="yellow"/>
          <w:lang w:eastAsia="pt-BR"/>
        </w:rPr>
        <w:t xml:space="preserve"> o regime da concessão comum, cujo contorno é dado pela Lei 8.987, veda expressamente a concessão de complementação tarifária, é simples responder que necessitando a administração de regras que lhe autorizem, em algum momento, lançar mão da complementação tarifária, não poderá valer-se do regramento das concessões comuns. Restará apenas o instituto da concessão patrocinada a suportar a eventualidade da complementação tarifária</w:t>
      </w: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.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É de se concluir, então, que sempre que se tenha a hipótese de transferência de recursos públicos para o setor privado, na vigência do contrato de concessão, ainda que sujeita a condições cuja ocorrência 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é</w:t>
      </w:r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 contingente, o modelo a ser adotado deverá ser o previsto na Lei 11.079, sob a denominação de concessão patrocinada.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Verificamos que é possível à administração também conjugar as duas modalidades de contraprestação, ou optar apenas por uma delas, sempre levando em consideração o equilíbrio entre o princípio da economicidade e a geração da necessária atração do capital privado.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Não se pode, também, a priori, descartar outras maneiras de se viabilizar e de se condicionar a transferência de recursos do setor público ao setor privado, desde que, </w:t>
      </w: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lastRenderedPageBreak/>
        <w:t>evidentemente, respeitadas as condicionantes do regime jurídico instituído pela Lei 11.079, conjugadas com aquelas da Lei de Responsabilidade Fiscal.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———————</w:t>
      </w:r>
    </w:p>
    <w:p w:rsidR="00C3605E" w:rsidRPr="00C3605E" w:rsidRDefault="00C3605E" w:rsidP="00C3605E">
      <w:pPr>
        <w:shd w:val="clear" w:color="auto" w:fill="F6F6F6"/>
        <w:spacing w:after="300" w:line="240" w:lineRule="auto"/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</w:pPr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Sérgio Henrique Passos </w:t>
      </w:r>
      <w:proofErr w:type="spell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Avelleda</w:t>
      </w:r>
      <w:proofErr w:type="spell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, 33 anos, 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é advogado e gerente jurídico da Companhia do Metrô de São Paulo</w:t>
      </w:r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. Mestrando em filosofia do direito na PUC/SP</w:t>
      </w:r>
      <w:proofErr w:type="gram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, é</w:t>
      </w:r>
      <w:proofErr w:type="gram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 xml:space="preserve"> professor universitário e do programa Sociedade Brasileira de Direito Público – SBDP </w:t>
      </w:r>
      <w:proofErr w:type="spellStart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extra-muros</w:t>
      </w:r>
      <w:proofErr w:type="spellEnd"/>
      <w:r w:rsidRPr="00C3605E">
        <w:rPr>
          <w:rFonts w:ascii="Roboto" w:eastAsia="Times New Roman" w:hAnsi="Roboto" w:cs="Times New Roman"/>
          <w:color w:val="3F3F3F"/>
          <w:sz w:val="24"/>
          <w:szCs w:val="24"/>
          <w:lang w:eastAsia="pt-BR"/>
        </w:rPr>
        <w:t>.</w:t>
      </w:r>
    </w:p>
    <w:p w:rsidR="00C3605E" w:rsidRDefault="00C3605E" w:rsidP="00B70CB8">
      <w:pPr>
        <w:ind w:left="-709"/>
      </w:pPr>
      <w:hyperlink r:id="rId16" w:history="1">
        <w:r>
          <w:rPr>
            <w:rStyle w:val="Hyperlink"/>
          </w:rPr>
          <w:t>https://www.migalhas.com.br/depeso/62352/parcerias-publico-privadas-conceito-principios-e-situacoes-praticas</w:t>
        </w:r>
      </w:hyperlink>
    </w:p>
    <w:p w:rsidR="00C3605E" w:rsidRDefault="00C3605E" w:rsidP="00C3605E">
      <w:pPr>
        <w:pStyle w:val="NormalWeb"/>
        <w:shd w:val="clear" w:color="auto" w:fill="FFFFFF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333333"/>
          <w:spacing w:val="3"/>
        </w:rPr>
      </w:pPr>
      <w:proofErr w:type="gramStart"/>
      <w:r>
        <w:rPr>
          <w:rFonts w:ascii="Arial" w:hAnsi="Arial" w:cs="Arial"/>
          <w:color w:val="333333"/>
          <w:spacing w:val="3"/>
        </w:rPr>
        <w:t>3.3 Distinção</w:t>
      </w:r>
      <w:proofErr w:type="gramEnd"/>
      <w:r>
        <w:rPr>
          <w:rFonts w:ascii="Arial" w:hAnsi="Arial" w:cs="Arial"/>
          <w:color w:val="333333"/>
          <w:spacing w:val="3"/>
        </w:rPr>
        <w:t xml:space="preserve"> de "concessão comum":</w:t>
      </w:r>
    </w:p>
    <w:p w:rsidR="00C3605E" w:rsidRPr="00C3605E" w:rsidRDefault="00C3605E" w:rsidP="00C3605E">
      <w:pPr>
        <w:pStyle w:val="NormalWeb"/>
        <w:shd w:val="clear" w:color="auto" w:fill="FFFFFF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333333"/>
          <w:spacing w:val="3"/>
          <w:highlight w:val="yellow"/>
        </w:rPr>
      </w:pPr>
      <w:r w:rsidRPr="00C3605E">
        <w:rPr>
          <w:rFonts w:ascii="Arial" w:hAnsi="Arial" w:cs="Arial"/>
          <w:color w:val="333333"/>
          <w:spacing w:val="3"/>
          <w:highlight w:val="yellow"/>
        </w:rPr>
        <w:t>§3º Não constitui parceria público-privada a concessão comum, assim entendida a concessão de serviços públicos ou de obras públicas de que trata a Lei nº. 8.987, de 13 de fevereiro de 1995, quando não envolver contraprestação pecuniária do parceiro público ao parceiro privado.</w:t>
      </w:r>
    </w:p>
    <w:p w:rsidR="00C3605E" w:rsidRPr="00C3605E" w:rsidRDefault="00C3605E" w:rsidP="00C3605E">
      <w:pPr>
        <w:pStyle w:val="NormalWeb"/>
        <w:shd w:val="clear" w:color="auto" w:fill="FFFFFF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333333"/>
          <w:spacing w:val="3"/>
          <w:highlight w:val="yellow"/>
        </w:rPr>
      </w:pPr>
      <w:r w:rsidRPr="00C3605E">
        <w:rPr>
          <w:rFonts w:ascii="Arial" w:hAnsi="Arial" w:cs="Arial"/>
          <w:color w:val="333333"/>
          <w:spacing w:val="3"/>
          <w:highlight w:val="yellow"/>
        </w:rPr>
        <w:t>As parcerias público-privadas admitem somente as modalidades de concessão patrocinada e de administrativa; isso significa que a concessão comum, a qual tem por objeto os serviços públicos tratados na Lei nº. 8.987/95, não é regida pela Lei Federal nº. 11.079/04, mas pela Lei das Concessões e legislação correlata.</w:t>
      </w:r>
    </w:p>
    <w:p w:rsidR="00C3605E" w:rsidRDefault="00C3605E" w:rsidP="00C3605E">
      <w:pPr>
        <w:pStyle w:val="NormalWeb"/>
        <w:shd w:val="clear" w:color="auto" w:fill="FFFFFF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333333"/>
          <w:spacing w:val="3"/>
        </w:rPr>
      </w:pPr>
      <w:r w:rsidRPr="00C3605E">
        <w:rPr>
          <w:rFonts w:ascii="Arial" w:hAnsi="Arial" w:cs="Arial"/>
          <w:color w:val="333333"/>
          <w:spacing w:val="3"/>
          <w:highlight w:val="yellow"/>
        </w:rPr>
        <w:t xml:space="preserve">Se ausentes os demais requisitos elencados na Lei específica das parcerias e a remuneração por parte da Administração Pública limitar-se à contraprestação </w:t>
      </w:r>
      <w:proofErr w:type="gramStart"/>
      <w:r w:rsidRPr="00C3605E">
        <w:rPr>
          <w:rFonts w:ascii="Arial" w:hAnsi="Arial" w:cs="Arial"/>
          <w:color w:val="333333"/>
          <w:spacing w:val="3"/>
          <w:highlight w:val="yellow"/>
        </w:rPr>
        <w:t>não-pecuniária</w:t>
      </w:r>
      <w:proofErr w:type="gramEnd"/>
      <w:r w:rsidRPr="00C3605E">
        <w:rPr>
          <w:rFonts w:ascii="Arial" w:hAnsi="Arial" w:cs="Arial"/>
          <w:color w:val="333333"/>
          <w:spacing w:val="3"/>
          <w:highlight w:val="yellow"/>
        </w:rPr>
        <w:t xml:space="preserve"> ou alternativa, caracterizar-se-á a concessão comum.</w:t>
      </w:r>
    </w:p>
    <w:p w:rsidR="00C3605E" w:rsidRDefault="00C3605E" w:rsidP="00B70CB8">
      <w:pPr>
        <w:ind w:left="-709"/>
      </w:pPr>
    </w:p>
    <w:p w:rsidR="00AF52E2" w:rsidRDefault="00AF52E2" w:rsidP="00B70CB8">
      <w:pPr>
        <w:ind w:left="-709"/>
      </w:pPr>
      <w:hyperlink r:id="rId17" w:history="1">
        <w:r>
          <w:rPr>
            <w:rStyle w:val="Hyperlink"/>
          </w:rPr>
          <w:t>https://www.espacojuridico.com/blog/questao-com-explicacao-e-bom-demais/</w:t>
        </w:r>
      </w:hyperlink>
    </w:p>
    <w:p w:rsidR="00AF52E2" w:rsidRDefault="00AF52E2" w:rsidP="00AF52E2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666666"/>
          <w:sz w:val="21"/>
          <w:szCs w:val="21"/>
        </w:rPr>
      </w:pPr>
      <w:r>
        <w:rPr>
          <w:rStyle w:val="Forte"/>
          <w:rFonts w:ascii="Verdana" w:hAnsi="Verdana"/>
          <w:color w:val="666666"/>
          <w:sz w:val="21"/>
          <w:szCs w:val="21"/>
          <w:u w:val="single"/>
        </w:rPr>
        <w:t>Noções preliminares</w:t>
      </w:r>
    </w:p>
    <w:p w:rsidR="00AF52E2" w:rsidRDefault="00AF52E2" w:rsidP="00AF52E2">
      <w:pPr>
        <w:pStyle w:val="NormalWeb"/>
        <w:shd w:val="clear" w:color="auto" w:fill="FFFFFF"/>
        <w:spacing w:before="0" w:beforeAutospacing="0" w:after="300" w:afterAutospacing="0" w:line="315" w:lineRule="atLeast"/>
        <w:rPr>
          <w:rFonts w:ascii="Verdana" w:hAnsi="Verdana"/>
          <w:color w:val="666666"/>
          <w:sz w:val="21"/>
          <w:szCs w:val="21"/>
        </w:rPr>
      </w:pPr>
      <w:r>
        <w:rPr>
          <w:rFonts w:ascii="Verdana" w:hAnsi="Verdana"/>
          <w:color w:val="666666"/>
          <w:sz w:val="21"/>
          <w:szCs w:val="21"/>
        </w:rPr>
        <w:t>A concessão pode ser classificada como comum, sujeita predominantemente à Lei 8.987/99, ou concessão especial, regulada principalmente pela Lei 11.079/04 (diploma que instituiu o regime de parceria “público-privada”).</w:t>
      </w:r>
    </w:p>
    <w:p w:rsidR="00AF52E2" w:rsidRDefault="00AF52E2" w:rsidP="00AF52E2">
      <w:pPr>
        <w:pStyle w:val="NormalWeb"/>
        <w:shd w:val="clear" w:color="auto" w:fill="FFFFFF"/>
        <w:spacing w:before="0" w:beforeAutospacing="0" w:after="300" w:afterAutospacing="0" w:line="315" w:lineRule="atLeast"/>
        <w:rPr>
          <w:rFonts w:ascii="Verdana" w:hAnsi="Verdana"/>
          <w:color w:val="666666"/>
          <w:sz w:val="21"/>
          <w:szCs w:val="21"/>
        </w:rPr>
      </w:pPr>
      <w:r>
        <w:rPr>
          <w:rFonts w:ascii="Verdana" w:hAnsi="Verdana"/>
          <w:color w:val="666666"/>
          <w:sz w:val="21"/>
          <w:szCs w:val="21"/>
        </w:rPr>
        <w:t>A concessão comum possui duas modalidades: concessões de serviço público simples e concessões de serviço público precedidas de execução de obra pública. A concessão especial de serviço público, por sua vez, subdivide-se, ainda, em duas modalidades: concessão patrocinada e concessão administrativa. Vejamos, nesse sentido, o conceito legal de ambas as modalidades de concessão especial, retirados da Lei 11.079/04:</w:t>
      </w:r>
    </w:p>
    <w:p w:rsidR="00AF52E2" w:rsidRDefault="00AF52E2" w:rsidP="00AF52E2">
      <w:pPr>
        <w:pStyle w:val="NormalWeb"/>
        <w:shd w:val="clear" w:color="auto" w:fill="FFFFFF"/>
        <w:spacing w:before="0" w:beforeAutospacing="0" w:after="300" w:afterAutospacing="0" w:line="315" w:lineRule="atLeast"/>
        <w:rPr>
          <w:rFonts w:ascii="Verdana" w:hAnsi="Verdana"/>
          <w:color w:val="666666"/>
          <w:sz w:val="21"/>
          <w:szCs w:val="21"/>
        </w:rPr>
      </w:pPr>
      <w:r>
        <w:rPr>
          <w:rFonts w:ascii="Verdana" w:hAnsi="Verdana"/>
          <w:color w:val="666666"/>
          <w:sz w:val="21"/>
          <w:szCs w:val="21"/>
        </w:rPr>
        <w:t>Art. 2º. (…)</w:t>
      </w:r>
    </w:p>
    <w:p w:rsidR="00AF52E2" w:rsidRDefault="00AF52E2" w:rsidP="00AF52E2">
      <w:pPr>
        <w:pStyle w:val="NormalWeb"/>
        <w:shd w:val="clear" w:color="auto" w:fill="FFFFFF"/>
        <w:spacing w:before="0" w:beforeAutospacing="0" w:after="300" w:afterAutospacing="0" w:line="315" w:lineRule="atLeast"/>
        <w:rPr>
          <w:rFonts w:ascii="Verdana" w:hAnsi="Verdana"/>
          <w:color w:val="666666"/>
          <w:sz w:val="21"/>
          <w:szCs w:val="21"/>
        </w:rPr>
      </w:pPr>
      <w:r>
        <w:rPr>
          <w:rFonts w:ascii="Verdana" w:hAnsi="Verdana"/>
          <w:color w:val="666666"/>
          <w:sz w:val="21"/>
          <w:szCs w:val="21"/>
        </w:rPr>
        <w:lastRenderedPageBreak/>
        <w:t>§ 1º Concessão patrocinada é a concessão de serviços públicos ou de obras públicas de que trata a Lei no 8.987, de 13 de fevereiro de 1995, quando envolver, adicionalmente à tarifa cobrada dos usuários contraprestação pecuniária do parceiro público ao parceiro privado.</w:t>
      </w:r>
    </w:p>
    <w:p w:rsidR="00AF52E2" w:rsidRDefault="00AF52E2" w:rsidP="00AF52E2">
      <w:pPr>
        <w:pStyle w:val="NormalWeb"/>
        <w:shd w:val="clear" w:color="auto" w:fill="FFFFFF"/>
        <w:spacing w:before="0" w:beforeAutospacing="0" w:after="300" w:afterAutospacing="0" w:line="315" w:lineRule="atLeast"/>
        <w:rPr>
          <w:rFonts w:ascii="Verdana" w:hAnsi="Verdana"/>
          <w:color w:val="666666"/>
          <w:sz w:val="21"/>
          <w:szCs w:val="21"/>
        </w:rPr>
      </w:pPr>
      <w:r>
        <w:rPr>
          <w:rFonts w:ascii="Verdana" w:hAnsi="Verdana"/>
          <w:color w:val="666666"/>
          <w:sz w:val="21"/>
          <w:szCs w:val="21"/>
        </w:rPr>
        <w:t>§ 2º Concessão administrativa é o contrato de prestação de serviços de que a Administração Pública seja a usuária direta ou indireta, ainda que envolva execução de obra ou fornecimento e instalação de bens.</w:t>
      </w:r>
    </w:p>
    <w:p w:rsidR="00AF52E2" w:rsidRDefault="00AF52E2" w:rsidP="00AF52E2">
      <w:pPr>
        <w:pStyle w:val="NormalWeb"/>
        <w:shd w:val="clear" w:color="auto" w:fill="FFFFFF"/>
        <w:spacing w:before="0" w:beforeAutospacing="0" w:after="300" w:afterAutospacing="0" w:line="315" w:lineRule="atLeast"/>
        <w:rPr>
          <w:rFonts w:ascii="Verdana" w:hAnsi="Verdana"/>
          <w:color w:val="666666"/>
          <w:sz w:val="21"/>
          <w:szCs w:val="21"/>
        </w:rPr>
      </w:pPr>
      <w:r>
        <w:rPr>
          <w:rFonts w:ascii="Verdana" w:hAnsi="Verdana"/>
          <w:color w:val="666666"/>
          <w:sz w:val="21"/>
          <w:szCs w:val="21"/>
        </w:rPr>
        <w:t xml:space="preserve">Vale ressaltar que, de acordo com magistério de José dos </w:t>
      </w:r>
      <w:proofErr w:type="gramStart"/>
      <w:r>
        <w:rPr>
          <w:rFonts w:ascii="Verdana" w:hAnsi="Verdana"/>
          <w:color w:val="666666"/>
          <w:sz w:val="21"/>
          <w:szCs w:val="21"/>
        </w:rPr>
        <w:t>Santos Carvalho</w:t>
      </w:r>
      <w:proofErr w:type="gramEnd"/>
      <w:r>
        <w:rPr>
          <w:rFonts w:ascii="Verdana" w:hAnsi="Verdana"/>
          <w:color w:val="666666"/>
          <w:sz w:val="21"/>
          <w:szCs w:val="21"/>
        </w:rPr>
        <w:t xml:space="preserve"> Filho, nas concessões comuns de serviço público, “o poder concedente não oferece qualquer contrapartida pecuniária ao concessionário”. Nesse aspecto, então está uma das principais diferenças entre esse regime e o das concessões especial, já que nesta última espécie, sempre há contraprestação pecuniária do ente concedente.</w:t>
      </w:r>
    </w:p>
    <w:p w:rsidR="00AF52E2" w:rsidRDefault="00AF52E2" w:rsidP="00AF52E2">
      <w:pPr>
        <w:pStyle w:val="NormalWeb"/>
        <w:shd w:val="clear" w:color="auto" w:fill="FFFFFF"/>
        <w:spacing w:before="0" w:beforeAutospacing="0" w:after="300" w:afterAutospacing="0" w:line="315" w:lineRule="atLeast"/>
        <w:rPr>
          <w:rFonts w:ascii="Verdana" w:hAnsi="Verdana"/>
          <w:color w:val="666666"/>
          <w:sz w:val="21"/>
          <w:szCs w:val="21"/>
        </w:rPr>
      </w:pPr>
      <w:r>
        <w:rPr>
          <w:rFonts w:ascii="Verdana" w:hAnsi="Verdana"/>
          <w:color w:val="666666"/>
          <w:sz w:val="21"/>
          <w:szCs w:val="21"/>
        </w:rPr>
        <w:t>Além dessas informações, faz-se necessária a transcrição de alguns dispositivos da lei que rege o regime jurídico das parcerias público-privadas a fim de respondermos à questão em apreço, senão vejamos:</w:t>
      </w:r>
    </w:p>
    <w:p w:rsidR="00AF52E2" w:rsidRDefault="00AF52E2" w:rsidP="00B70CB8">
      <w:pPr>
        <w:ind w:left="-709"/>
      </w:pPr>
    </w:p>
    <w:sectPr w:rsidR="00AF5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B8"/>
    <w:rsid w:val="00815768"/>
    <w:rsid w:val="009A58B4"/>
    <w:rsid w:val="00AF52E2"/>
    <w:rsid w:val="00B214DF"/>
    <w:rsid w:val="00B70CB8"/>
    <w:rsid w:val="00BD379B"/>
    <w:rsid w:val="00C3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CB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70C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214DF"/>
    <w:rPr>
      <w:i/>
      <w:iCs/>
    </w:rPr>
  </w:style>
  <w:style w:type="character" w:styleId="Forte">
    <w:name w:val="Strong"/>
    <w:basedOn w:val="Fontepargpadro"/>
    <w:uiPriority w:val="22"/>
    <w:qFormat/>
    <w:rsid w:val="00B214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CB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70C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214DF"/>
    <w:rPr>
      <w:i/>
      <w:iCs/>
    </w:rPr>
  </w:style>
  <w:style w:type="character" w:styleId="Forte">
    <w:name w:val="Strong"/>
    <w:basedOn w:val="Fontepargpadro"/>
    <w:uiPriority w:val="22"/>
    <w:qFormat/>
    <w:rsid w:val="00B21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3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6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683105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1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87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7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3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6782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86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0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9951">
          <w:blockQuote w:val="1"/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033819/lei-de-concessoes-lei-8987-95" TargetMode="External"/><Relationship Id="rId13" Type="http://schemas.openxmlformats.org/officeDocument/2006/relationships/hyperlink" Target="http://www.jusbrasil.com.br/legislacao/1033819/lei-de-concessoes-lei-8987-9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11583235/artigo-2-da-lei-n-8987-de-13-de-fevereiro-de-1995" TargetMode="External"/><Relationship Id="rId12" Type="http://schemas.openxmlformats.org/officeDocument/2006/relationships/hyperlink" Target="http://www.jusbrasil.com.br/topicos/11583235/artigo-2-da-lei-n-8987-de-13-de-fevereiro-de-1995" TargetMode="External"/><Relationship Id="rId17" Type="http://schemas.openxmlformats.org/officeDocument/2006/relationships/hyperlink" Target="https://www.espacojuridico.com/blog/questao-com-explicacao-e-bom-demai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migalhas.com.br/depeso/62352/parcerias-publico-privadas-conceito-principios-e-situacoes-pratica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96990/lei-11079-04" TargetMode="External"/><Relationship Id="rId11" Type="http://schemas.openxmlformats.org/officeDocument/2006/relationships/hyperlink" Target="http://www.jusbrasil.com.br/legislacao/96990/lei-11079-04" TargetMode="External"/><Relationship Id="rId5" Type="http://schemas.openxmlformats.org/officeDocument/2006/relationships/hyperlink" Target="http://www.jusbrasil.com.br/legislacao/96990/lei-11079-04" TargetMode="External"/><Relationship Id="rId15" Type="http://schemas.openxmlformats.org/officeDocument/2006/relationships/hyperlink" Target="http://www.sedep.com.br/artigos/contraprestacao-nos-contratos-de-concessao-patrocinada/" TargetMode="External"/><Relationship Id="rId10" Type="http://schemas.openxmlformats.org/officeDocument/2006/relationships/hyperlink" Target="http://www.jusbrasil.com.br/legislacao/1033819/lei-de-concessoes-lei-8987-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legislacao/96990/lei-11079-04" TargetMode="External"/><Relationship Id="rId14" Type="http://schemas.openxmlformats.org/officeDocument/2006/relationships/hyperlink" Target="http://www.planejamento.gov.br/assuntos/desenvolvimento/parcerias-publico-privadas/referencias/copy_of_perguntas-frequent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2807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17934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Pinheiro Silva</dc:creator>
  <cp:lastModifiedBy>Carla Pinheiro Silva</cp:lastModifiedBy>
  <cp:revision>1</cp:revision>
  <dcterms:created xsi:type="dcterms:W3CDTF">2020-02-04T17:26:00Z</dcterms:created>
  <dcterms:modified xsi:type="dcterms:W3CDTF">2020-02-04T18:51:00Z</dcterms:modified>
</cp:coreProperties>
</file>