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F0F" w:rsidRPr="00627771" w:rsidRDefault="00B026DF" w:rsidP="00627771">
      <w:pPr>
        <w:jc w:val="both"/>
        <w:rPr>
          <w:rFonts w:ascii="Arial" w:hAnsi="Arial" w:cs="Arial"/>
          <w:sz w:val="24"/>
          <w:szCs w:val="24"/>
        </w:rPr>
      </w:pPr>
      <w:r w:rsidRPr="00627771">
        <w:rPr>
          <w:rFonts w:ascii="Arial" w:hAnsi="Arial" w:cs="Arial"/>
          <w:sz w:val="24"/>
          <w:szCs w:val="24"/>
        </w:rPr>
        <w:t>DESCONSIDERAÇÃO DA PERSONALIDADE JURÍDICA</w:t>
      </w:r>
    </w:p>
    <w:p w:rsidR="003C18F5" w:rsidRPr="003C18F5" w:rsidRDefault="003C18F5" w:rsidP="00627771">
      <w:pPr>
        <w:spacing w:before="200" w:after="0" w:line="300" w:lineRule="auto"/>
        <w:jc w:val="both"/>
        <w:rPr>
          <w:rFonts w:ascii="Arial" w:eastAsia="Times New Roman" w:hAnsi="Arial" w:cs="Arial"/>
          <w:sz w:val="24"/>
          <w:szCs w:val="24"/>
          <w:lang w:eastAsia="pt-BR"/>
        </w:rPr>
      </w:pPr>
      <w:r w:rsidRPr="003C18F5">
        <w:rPr>
          <w:rFonts w:ascii="Arial" w:eastAsia="Calibri" w:hAnsi="Arial" w:cs="Arial"/>
          <w:b/>
          <w:bCs/>
          <w:color w:val="000000" w:themeColor="text1"/>
          <w:spacing w:val="20"/>
          <w:kern w:val="24"/>
          <w:sz w:val="24"/>
          <w:szCs w:val="24"/>
          <w:lang w:eastAsia="pt-BR"/>
        </w:rPr>
        <w:t>No ordenamento jurídico a desconsideração da personalidade jurídica já é tratada nas seguintes leis:</w:t>
      </w:r>
    </w:p>
    <w:p w:rsidR="003C18F5" w:rsidRPr="003C18F5" w:rsidRDefault="003C18F5" w:rsidP="00627771">
      <w:pPr>
        <w:numPr>
          <w:ilvl w:val="0"/>
          <w:numId w:val="1"/>
        </w:numPr>
        <w:spacing w:after="0" w:line="300" w:lineRule="auto"/>
        <w:ind w:left="1166"/>
        <w:contextualSpacing/>
        <w:jc w:val="both"/>
        <w:rPr>
          <w:rFonts w:ascii="Arial" w:eastAsia="Times New Roman" w:hAnsi="Arial" w:cs="Arial"/>
          <w:sz w:val="24"/>
          <w:szCs w:val="24"/>
          <w:lang w:eastAsia="pt-BR"/>
        </w:rPr>
      </w:pPr>
      <w:r w:rsidRPr="003C18F5">
        <w:rPr>
          <w:rFonts w:ascii="Arial" w:eastAsia="Calibri" w:hAnsi="Arial" w:cs="Arial"/>
          <w:color w:val="000000" w:themeColor="text1"/>
          <w:spacing w:val="20"/>
          <w:kern w:val="24"/>
          <w:sz w:val="24"/>
          <w:szCs w:val="24"/>
          <w:lang w:eastAsia="pt-BR"/>
        </w:rPr>
        <w:t>Código Civil (artigo 50);</w:t>
      </w:r>
    </w:p>
    <w:p w:rsidR="003C18F5" w:rsidRPr="003C18F5" w:rsidRDefault="003C18F5" w:rsidP="00627771">
      <w:pPr>
        <w:numPr>
          <w:ilvl w:val="0"/>
          <w:numId w:val="1"/>
        </w:numPr>
        <w:spacing w:after="0" w:line="300" w:lineRule="auto"/>
        <w:ind w:left="1166"/>
        <w:contextualSpacing/>
        <w:jc w:val="both"/>
        <w:rPr>
          <w:rFonts w:ascii="Arial" w:eastAsia="Times New Roman" w:hAnsi="Arial" w:cs="Arial"/>
          <w:sz w:val="24"/>
          <w:szCs w:val="24"/>
          <w:lang w:eastAsia="pt-BR"/>
        </w:rPr>
      </w:pPr>
      <w:r w:rsidRPr="003C18F5">
        <w:rPr>
          <w:rFonts w:ascii="Arial" w:eastAsia="Calibri" w:hAnsi="Arial" w:cs="Arial"/>
          <w:color w:val="000000" w:themeColor="text1"/>
          <w:spacing w:val="20"/>
          <w:kern w:val="24"/>
          <w:sz w:val="24"/>
          <w:szCs w:val="24"/>
          <w:lang w:eastAsia="pt-BR"/>
        </w:rPr>
        <w:t>Código de Defesa do Consumidor (artigo 28);</w:t>
      </w:r>
    </w:p>
    <w:p w:rsidR="003C18F5" w:rsidRPr="003C18F5" w:rsidRDefault="003C18F5" w:rsidP="00627771">
      <w:pPr>
        <w:numPr>
          <w:ilvl w:val="0"/>
          <w:numId w:val="1"/>
        </w:numPr>
        <w:spacing w:after="0" w:line="300" w:lineRule="auto"/>
        <w:ind w:left="1166"/>
        <w:contextualSpacing/>
        <w:jc w:val="both"/>
        <w:rPr>
          <w:rFonts w:ascii="Arial" w:eastAsia="Times New Roman" w:hAnsi="Arial" w:cs="Arial"/>
          <w:sz w:val="24"/>
          <w:szCs w:val="24"/>
          <w:lang w:eastAsia="pt-BR"/>
        </w:rPr>
      </w:pPr>
      <w:r w:rsidRPr="003C18F5">
        <w:rPr>
          <w:rFonts w:ascii="Arial" w:eastAsia="Calibri" w:hAnsi="Arial" w:cs="Arial"/>
          <w:color w:val="000000" w:themeColor="text1"/>
          <w:spacing w:val="20"/>
          <w:kern w:val="24"/>
          <w:sz w:val="24"/>
          <w:szCs w:val="24"/>
          <w:lang w:eastAsia="pt-BR"/>
        </w:rPr>
        <w:t>Lei de Defesa da Concorrência (artigo 34);</w:t>
      </w:r>
    </w:p>
    <w:p w:rsidR="003C18F5" w:rsidRPr="003C18F5" w:rsidRDefault="003C18F5" w:rsidP="00627771">
      <w:pPr>
        <w:numPr>
          <w:ilvl w:val="0"/>
          <w:numId w:val="1"/>
        </w:numPr>
        <w:spacing w:after="0" w:line="300" w:lineRule="auto"/>
        <w:ind w:left="1166"/>
        <w:contextualSpacing/>
        <w:jc w:val="both"/>
        <w:rPr>
          <w:rFonts w:ascii="Arial" w:eastAsia="Times New Roman" w:hAnsi="Arial" w:cs="Arial"/>
          <w:sz w:val="24"/>
          <w:szCs w:val="24"/>
          <w:lang w:eastAsia="pt-BR"/>
        </w:rPr>
      </w:pPr>
      <w:r w:rsidRPr="003C18F5">
        <w:rPr>
          <w:rFonts w:ascii="Arial" w:eastAsia="Calibri" w:hAnsi="Arial" w:cs="Arial"/>
          <w:color w:val="000000" w:themeColor="text1"/>
          <w:spacing w:val="20"/>
          <w:kern w:val="24"/>
          <w:sz w:val="24"/>
          <w:szCs w:val="24"/>
          <w:lang w:eastAsia="pt-BR"/>
        </w:rPr>
        <w:t xml:space="preserve">Lei Anticorrupção (artigo 14); </w:t>
      </w:r>
    </w:p>
    <w:p w:rsidR="003C18F5" w:rsidRPr="003C18F5" w:rsidRDefault="003C18F5" w:rsidP="00627771">
      <w:pPr>
        <w:numPr>
          <w:ilvl w:val="0"/>
          <w:numId w:val="1"/>
        </w:numPr>
        <w:spacing w:after="0" w:line="300" w:lineRule="auto"/>
        <w:ind w:left="1166"/>
        <w:contextualSpacing/>
        <w:jc w:val="both"/>
        <w:rPr>
          <w:rFonts w:ascii="Arial" w:eastAsia="Times New Roman" w:hAnsi="Arial" w:cs="Arial"/>
          <w:sz w:val="24"/>
          <w:szCs w:val="24"/>
          <w:lang w:eastAsia="pt-BR"/>
        </w:rPr>
      </w:pPr>
      <w:r w:rsidRPr="003C18F5">
        <w:rPr>
          <w:rFonts w:ascii="Arial" w:eastAsia="Calibri" w:hAnsi="Arial" w:cs="Arial"/>
          <w:color w:val="000000" w:themeColor="text1"/>
          <w:spacing w:val="20"/>
          <w:kern w:val="24"/>
          <w:sz w:val="24"/>
          <w:szCs w:val="24"/>
          <w:lang w:eastAsia="pt-BR"/>
        </w:rPr>
        <w:t>Lei n° 9.605/98 (artigo 4º)</w:t>
      </w:r>
    </w:p>
    <w:p w:rsidR="003C18F5" w:rsidRPr="003C18F5" w:rsidRDefault="003C18F5" w:rsidP="00627771">
      <w:pPr>
        <w:numPr>
          <w:ilvl w:val="0"/>
          <w:numId w:val="1"/>
        </w:numPr>
        <w:spacing w:after="0" w:line="300" w:lineRule="auto"/>
        <w:ind w:left="1166"/>
        <w:contextualSpacing/>
        <w:jc w:val="both"/>
        <w:rPr>
          <w:rFonts w:ascii="Arial" w:eastAsia="Times New Roman" w:hAnsi="Arial" w:cs="Arial"/>
          <w:sz w:val="24"/>
          <w:szCs w:val="24"/>
          <w:lang w:eastAsia="pt-BR"/>
        </w:rPr>
      </w:pPr>
      <w:r w:rsidRPr="003C18F5">
        <w:rPr>
          <w:rFonts w:ascii="Arial" w:eastAsia="Calibri" w:hAnsi="Arial" w:cs="Arial"/>
          <w:color w:val="000000" w:themeColor="text1"/>
          <w:spacing w:val="20"/>
          <w:kern w:val="24"/>
          <w:sz w:val="24"/>
          <w:szCs w:val="24"/>
          <w:lang w:eastAsia="pt-BR"/>
        </w:rPr>
        <w:t>Lei das Empresas Estatais (artigo 38)</w:t>
      </w:r>
    </w:p>
    <w:p w:rsidR="003C18F5" w:rsidRPr="00627771" w:rsidRDefault="003C18F5" w:rsidP="00627771">
      <w:pPr>
        <w:jc w:val="both"/>
        <w:rPr>
          <w:rFonts w:ascii="Arial" w:hAnsi="Arial" w:cs="Arial"/>
          <w:sz w:val="24"/>
          <w:szCs w:val="24"/>
        </w:rPr>
      </w:pPr>
    </w:p>
    <w:p w:rsidR="00B026DF" w:rsidRPr="00B026DF" w:rsidRDefault="00B026DF" w:rsidP="00627771">
      <w:pPr>
        <w:spacing w:line="240" w:lineRule="auto"/>
        <w:jc w:val="both"/>
        <w:rPr>
          <w:rFonts w:ascii="Arial" w:eastAsia="Times New Roman" w:hAnsi="Arial" w:cs="Arial"/>
          <w:sz w:val="24"/>
          <w:szCs w:val="24"/>
          <w:lang w:eastAsia="pt-BR"/>
        </w:rPr>
      </w:pPr>
      <w:r w:rsidRPr="00B026DF">
        <w:rPr>
          <w:rFonts w:ascii="Arial" w:eastAsia="Times New Roman" w:hAnsi="Arial" w:cs="Arial"/>
          <w:b/>
          <w:bCs/>
          <w:caps/>
          <w:color w:val="000000" w:themeColor="text1"/>
          <w:kern w:val="24"/>
          <w:sz w:val="24"/>
          <w:szCs w:val="24"/>
          <w:lang w:eastAsia="pt-BR"/>
        </w:rPr>
        <w:t>ACÓRDÃO do TCU</w:t>
      </w:r>
    </w:p>
    <w:p w:rsidR="00B026DF" w:rsidRPr="00B026DF" w:rsidRDefault="00B026DF" w:rsidP="00627771">
      <w:pPr>
        <w:spacing w:line="240" w:lineRule="auto"/>
        <w:jc w:val="both"/>
        <w:rPr>
          <w:rFonts w:ascii="Arial" w:eastAsia="Times New Roman" w:hAnsi="Arial" w:cs="Arial"/>
          <w:sz w:val="24"/>
          <w:szCs w:val="24"/>
          <w:lang w:eastAsia="pt-BR"/>
        </w:rPr>
      </w:pPr>
      <w:r w:rsidRPr="00B026DF">
        <w:rPr>
          <w:rFonts w:ascii="Arial" w:eastAsia="Times New Roman" w:hAnsi="Arial" w:cs="Arial"/>
          <w:color w:val="000000" w:themeColor="text1"/>
          <w:kern w:val="24"/>
          <w:sz w:val="24"/>
          <w:szCs w:val="24"/>
          <w:lang w:eastAsia="pt-BR"/>
        </w:rPr>
        <w:t>VISTOS, relatados e discutidos estes autos de Representação autuada por força do item 9.10 do </w:t>
      </w:r>
      <w:hyperlink r:id="rId5" w:history="1">
        <w:r w:rsidRPr="00627771">
          <w:rPr>
            <w:rFonts w:ascii="Arial" w:eastAsia="Times New Roman" w:hAnsi="Arial" w:cs="Arial"/>
            <w:color w:val="000000" w:themeColor="text1"/>
            <w:kern w:val="24"/>
            <w:sz w:val="24"/>
            <w:szCs w:val="24"/>
            <w:u w:val="single"/>
            <w:lang w:eastAsia="pt-BR"/>
          </w:rPr>
          <w:t>Acórdão 1147/2011-TCU-Plenário</w:t>
        </w:r>
      </w:hyperlink>
      <w:r w:rsidRPr="00B026DF">
        <w:rPr>
          <w:rFonts w:ascii="Arial" w:eastAsia="Times New Roman" w:hAnsi="Arial" w:cs="Arial"/>
          <w:color w:val="000000" w:themeColor="text1"/>
          <w:kern w:val="24"/>
          <w:sz w:val="24"/>
          <w:szCs w:val="24"/>
          <w:lang w:eastAsia="pt-BR"/>
        </w:rPr>
        <w:t> em que se apura a responsabilidade das empresas envolvidas nas fraudes às licitações verificadas na ‘Operação Sanguessuga’,</w:t>
      </w:r>
    </w:p>
    <w:p w:rsidR="00B026DF" w:rsidRPr="00B026DF" w:rsidRDefault="00B026DF" w:rsidP="00627771">
      <w:pPr>
        <w:spacing w:line="240" w:lineRule="auto"/>
        <w:jc w:val="both"/>
        <w:rPr>
          <w:rFonts w:ascii="Arial" w:eastAsia="Times New Roman" w:hAnsi="Arial" w:cs="Arial"/>
          <w:sz w:val="24"/>
          <w:szCs w:val="24"/>
          <w:lang w:eastAsia="pt-BR"/>
        </w:rPr>
      </w:pPr>
      <w:r w:rsidRPr="00B026DF">
        <w:rPr>
          <w:rFonts w:ascii="Arial" w:eastAsia="Times New Roman" w:hAnsi="Arial" w:cs="Arial"/>
          <w:color w:val="000000" w:themeColor="text1"/>
          <w:kern w:val="24"/>
          <w:sz w:val="24"/>
          <w:szCs w:val="24"/>
          <w:lang w:eastAsia="pt-BR"/>
        </w:rPr>
        <w:t>ACORDAM os Ministros do Tribunal de Contas da União, reunidos em Sessão Plenária, diante das razões expostas pelo Relator, em:</w:t>
      </w:r>
    </w:p>
    <w:p w:rsidR="00B026DF" w:rsidRPr="00B026DF" w:rsidRDefault="00B026DF" w:rsidP="00627771">
      <w:pPr>
        <w:spacing w:line="240" w:lineRule="auto"/>
        <w:jc w:val="both"/>
        <w:rPr>
          <w:rFonts w:ascii="Arial" w:eastAsia="Times New Roman" w:hAnsi="Arial" w:cs="Arial"/>
          <w:sz w:val="24"/>
          <w:szCs w:val="24"/>
          <w:lang w:eastAsia="pt-BR"/>
        </w:rPr>
      </w:pPr>
      <w:r w:rsidRPr="00B026DF">
        <w:rPr>
          <w:rFonts w:ascii="Arial" w:eastAsia="Times New Roman" w:hAnsi="Arial" w:cs="Arial"/>
          <w:color w:val="000000" w:themeColor="text1"/>
          <w:kern w:val="24"/>
          <w:sz w:val="24"/>
          <w:szCs w:val="24"/>
          <w:lang w:eastAsia="pt-BR"/>
        </w:rPr>
        <w:t>(...)</w:t>
      </w:r>
    </w:p>
    <w:p w:rsidR="00B026DF" w:rsidRPr="00B026DF" w:rsidRDefault="00B026DF" w:rsidP="00627771">
      <w:pPr>
        <w:spacing w:line="240" w:lineRule="auto"/>
        <w:jc w:val="both"/>
        <w:rPr>
          <w:rFonts w:ascii="Arial" w:eastAsia="Times New Roman" w:hAnsi="Arial" w:cs="Arial"/>
          <w:sz w:val="24"/>
          <w:szCs w:val="24"/>
          <w:lang w:eastAsia="pt-BR"/>
        </w:rPr>
      </w:pPr>
      <w:r w:rsidRPr="00B026DF">
        <w:rPr>
          <w:rFonts w:ascii="Arial" w:eastAsia="Times New Roman" w:hAnsi="Arial" w:cs="Arial"/>
          <w:color w:val="000000" w:themeColor="text1"/>
          <w:kern w:val="24"/>
          <w:sz w:val="24"/>
          <w:szCs w:val="24"/>
          <w:lang w:eastAsia="pt-BR"/>
        </w:rPr>
        <w:t xml:space="preserve">9.3. </w:t>
      </w:r>
      <w:r w:rsidRPr="00B026DF">
        <w:rPr>
          <w:rFonts w:ascii="Arial" w:eastAsia="Times New Roman" w:hAnsi="Arial" w:cs="Arial"/>
          <w:b/>
          <w:bCs/>
          <w:color w:val="000000" w:themeColor="text1"/>
          <w:kern w:val="24"/>
          <w:sz w:val="24"/>
          <w:szCs w:val="24"/>
          <w:lang w:eastAsia="pt-BR"/>
        </w:rPr>
        <w:t>declarar a inidoneidade, com fundamento no artigo 46 da Lei 8.443/1992</w:t>
      </w:r>
      <w:r w:rsidRPr="00B026DF">
        <w:rPr>
          <w:rFonts w:ascii="Arial" w:eastAsia="Times New Roman" w:hAnsi="Arial" w:cs="Arial"/>
          <w:color w:val="000000" w:themeColor="text1"/>
          <w:kern w:val="24"/>
          <w:sz w:val="24"/>
          <w:szCs w:val="24"/>
          <w:lang w:eastAsia="pt-BR"/>
        </w:rPr>
        <w:t xml:space="preserve">, das empresas Planam Comércio e Representação Ltda. (CNPJ: 37.517.158/0001-43), Santa Maria Comércio e Representação Ltda. (CNPJ: 03.737.267/0001-54), </w:t>
      </w:r>
      <w:proofErr w:type="spellStart"/>
      <w:r w:rsidRPr="00B026DF">
        <w:rPr>
          <w:rFonts w:ascii="Arial" w:eastAsia="Times New Roman" w:hAnsi="Arial" w:cs="Arial"/>
          <w:color w:val="000000" w:themeColor="text1"/>
          <w:kern w:val="24"/>
          <w:sz w:val="24"/>
          <w:szCs w:val="24"/>
          <w:lang w:eastAsia="pt-BR"/>
        </w:rPr>
        <w:t>Klass</w:t>
      </w:r>
      <w:proofErr w:type="spellEnd"/>
      <w:r w:rsidRPr="00B026DF">
        <w:rPr>
          <w:rFonts w:ascii="Arial" w:eastAsia="Times New Roman" w:hAnsi="Arial" w:cs="Arial"/>
          <w:color w:val="000000" w:themeColor="text1"/>
          <w:kern w:val="24"/>
          <w:sz w:val="24"/>
          <w:szCs w:val="24"/>
          <w:lang w:eastAsia="pt-BR"/>
        </w:rPr>
        <w:t xml:space="preserve"> Comércio e Representação Ltda. (CNPJ: 02.332.985/0001-88 ), </w:t>
      </w:r>
      <w:proofErr w:type="spellStart"/>
      <w:r w:rsidRPr="00B026DF">
        <w:rPr>
          <w:rFonts w:ascii="Arial" w:eastAsia="Times New Roman" w:hAnsi="Arial" w:cs="Arial"/>
          <w:color w:val="000000" w:themeColor="text1"/>
          <w:kern w:val="24"/>
          <w:sz w:val="24"/>
          <w:szCs w:val="24"/>
          <w:lang w:eastAsia="pt-BR"/>
        </w:rPr>
        <w:t>Enir</w:t>
      </w:r>
      <w:proofErr w:type="spellEnd"/>
      <w:r w:rsidRPr="00B026DF">
        <w:rPr>
          <w:rFonts w:ascii="Arial" w:eastAsia="Times New Roman" w:hAnsi="Arial" w:cs="Arial"/>
          <w:color w:val="000000" w:themeColor="text1"/>
          <w:kern w:val="24"/>
          <w:sz w:val="24"/>
          <w:szCs w:val="24"/>
          <w:lang w:eastAsia="pt-BR"/>
        </w:rPr>
        <w:t xml:space="preserve"> Rodrigues de Jesus EPP – Comercial Rodrigues (CNPJ: 02.391.145/0001-96) e </w:t>
      </w:r>
      <w:proofErr w:type="spellStart"/>
      <w:r w:rsidRPr="00B026DF">
        <w:rPr>
          <w:rFonts w:ascii="Arial" w:eastAsia="Times New Roman" w:hAnsi="Arial" w:cs="Arial"/>
          <w:color w:val="000000" w:themeColor="text1"/>
          <w:kern w:val="24"/>
          <w:sz w:val="24"/>
          <w:szCs w:val="24"/>
          <w:lang w:eastAsia="pt-BR"/>
        </w:rPr>
        <w:t>Vedovel</w:t>
      </w:r>
      <w:proofErr w:type="spellEnd"/>
      <w:r w:rsidRPr="00B026DF">
        <w:rPr>
          <w:rFonts w:ascii="Arial" w:eastAsia="Times New Roman" w:hAnsi="Arial" w:cs="Arial"/>
          <w:color w:val="000000" w:themeColor="text1"/>
          <w:kern w:val="24"/>
          <w:sz w:val="24"/>
          <w:szCs w:val="24"/>
          <w:lang w:eastAsia="pt-BR"/>
        </w:rPr>
        <w:t xml:space="preserve"> Comércio e Representações Ltda. (CNPJ: 04.717.562/0001-01), para participar de licitação que utilize recursos públicos federais por um período de cinco anos;</w:t>
      </w:r>
    </w:p>
    <w:p w:rsidR="00B026DF" w:rsidRPr="00B026DF" w:rsidRDefault="00B026DF" w:rsidP="00627771">
      <w:pPr>
        <w:spacing w:line="240" w:lineRule="auto"/>
        <w:jc w:val="both"/>
        <w:rPr>
          <w:rFonts w:ascii="Arial" w:eastAsia="Times New Roman" w:hAnsi="Arial" w:cs="Arial"/>
          <w:sz w:val="24"/>
          <w:szCs w:val="24"/>
          <w:lang w:eastAsia="pt-BR"/>
        </w:rPr>
      </w:pPr>
      <w:r w:rsidRPr="00B026DF">
        <w:rPr>
          <w:rFonts w:ascii="Arial" w:eastAsia="Times New Roman" w:hAnsi="Arial" w:cs="Arial"/>
          <w:color w:val="000000" w:themeColor="text1"/>
          <w:kern w:val="24"/>
          <w:sz w:val="24"/>
          <w:szCs w:val="24"/>
          <w:lang w:eastAsia="pt-BR"/>
        </w:rPr>
        <w:t xml:space="preserve">9.5.2. </w:t>
      </w:r>
      <w:r w:rsidRPr="00B026DF">
        <w:rPr>
          <w:rFonts w:ascii="Arial" w:eastAsia="Times New Roman" w:hAnsi="Arial" w:cs="Arial"/>
          <w:b/>
          <w:bCs/>
          <w:color w:val="000000" w:themeColor="text1"/>
          <w:kern w:val="24"/>
          <w:sz w:val="24"/>
          <w:szCs w:val="24"/>
          <w:lang w:eastAsia="pt-BR"/>
        </w:rPr>
        <w:t xml:space="preserve">desenvolva mecanismo, no âmbito do </w:t>
      </w:r>
      <w:proofErr w:type="spellStart"/>
      <w:r w:rsidRPr="00B026DF">
        <w:rPr>
          <w:rFonts w:ascii="Arial" w:eastAsia="Times New Roman" w:hAnsi="Arial" w:cs="Arial"/>
          <w:b/>
          <w:bCs/>
          <w:color w:val="000000" w:themeColor="text1"/>
          <w:kern w:val="24"/>
          <w:sz w:val="24"/>
          <w:szCs w:val="24"/>
          <w:lang w:eastAsia="pt-BR"/>
        </w:rPr>
        <w:t>Sicaf</w:t>
      </w:r>
      <w:proofErr w:type="spellEnd"/>
      <w:r w:rsidRPr="00B026DF">
        <w:rPr>
          <w:rFonts w:ascii="Arial" w:eastAsia="Times New Roman" w:hAnsi="Arial" w:cs="Arial"/>
          <w:b/>
          <w:bCs/>
          <w:color w:val="000000" w:themeColor="text1"/>
          <w:kern w:val="24"/>
          <w:sz w:val="24"/>
          <w:szCs w:val="24"/>
          <w:lang w:eastAsia="pt-BR"/>
        </w:rPr>
        <w:t>, que permita o cruzamento de dados de sócios e/ou de administradores de empresas que tenham sido declaradas inidôneas e de empresas fundadas pelas mesmas pessoas, ou por parentes, até o terceiro grau, que demonstrem a intenção a participar de futuras licitações;</w:t>
      </w:r>
    </w:p>
    <w:p w:rsidR="00B026DF" w:rsidRPr="00B026DF" w:rsidRDefault="00B026DF" w:rsidP="00627771">
      <w:pPr>
        <w:spacing w:line="240" w:lineRule="auto"/>
        <w:jc w:val="both"/>
        <w:rPr>
          <w:rFonts w:ascii="Arial" w:eastAsia="Times New Roman" w:hAnsi="Arial" w:cs="Arial"/>
          <w:sz w:val="24"/>
          <w:szCs w:val="24"/>
          <w:lang w:eastAsia="pt-BR"/>
        </w:rPr>
      </w:pPr>
      <w:r w:rsidRPr="00B026DF">
        <w:rPr>
          <w:rFonts w:ascii="Arial" w:eastAsia="Times New Roman" w:hAnsi="Arial" w:cs="Arial"/>
          <w:color w:val="000000" w:themeColor="text1"/>
          <w:kern w:val="24"/>
          <w:sz w:val="24"/>
          <w:szCs w:val="24"/>
          <w:lang w:eastAsia="pt-BR"/>
        </w:rPr>
        <w:t xml:space="preserve">9.5.3. </w:t>
      </w:r>
      <w:r w:rsidRPr="00B026DF">
        <w:rPr>
          <w:rFonts w:ascii="Arial" w:eastAsia="Times New Roman" w:hAnsi="Arial" w:cs="Arial"/>
          <w:b/>
          <w:bCs/>
          <w:color w:val="000000" w:themeColor="text1"/>
          <w:kern w:val="24"/>
          <w:sz w:val="24"/>
          <w:szCs w:val="24"/>
          <w:lang w:eastAsia="pt-BR"/>
        </w:rPr>
        <w:t>oriente todos os órgãos/entidades</w:t>
      </w:r>
      <w:r w:rsidRPr="00B026DF">
        <w:rPr>
          <w:rFonts w:ascii="Arial" w:eastAsia="Times New Roman" w:hAnsi="Arial" w:cs="Arial"/>
          <w:color w:val="000000" w:themeColor="text1"/>
          <w:kern w:val="24"/>
          <w:sz w:val="24"/>
          <w:szCs w:val="24"/>
          <w:lang w:eastAsia="pt-BR"/>
        </w:rPr>
        <w:t xml:space="preserve"> do Governo Federal, </w:t>
      </w:r>
      <w:r w:rsidRPr="00B026DF">
        <w:rPr>
          <w:rFonts w:ascii="Arial" w:eastAsia="Times New Roman" w:hAnsi="Arial" w:cs="Arial"/>
          <w:b/>
          <w:bCs/>
          <w:color w:val="000000" w:themeColor="text1"/>
          <w:kern w:val="24"/>
          <w:sz w:val="24"/>
          <w:szCs w:val="24"/>
          <w:lang w:eastAsia="pt-BR"/>
        </w:rPr>
        <w:t>caso nova sociedade empresária tenha sido constituída com o mesmo objeto e por qualquer um dos sócios e/ou administradores de empresas declaradas inidôneas</w:t>
      </w:r>
      <w:r w:rsidRPr="00B026DF">
        <w:rPr>
          <w:rFonts w:ascii="Arial" w:eastAsia="Times New Roman" w:hAnsi="Arial" w:cs="Arial"/>
          <w:color w:val="000000" w:themeColor="text1"/>
          <w:kern w:val="24"/>
          <w:sz w:val="24"/>
          <w:szCs w:val="24"/>
          <w:lang w:eastAsia="pt-BR"/>
        </w:rPr>
        <w:t xml:space="preserve">, após a aplicação dessa sanção e no prazo de sua vigência, nos termos do o art. 46 da Lei 8.443/92, </w:t>
      </w:r>
      <w:r w:rsidRPr="00B026DF">
        <w:rPr>
          <w:rFonts w:ascii="Arial" w:eastAsia="Times New Roman" w:hAnsi="Arial" w:cs="Arial"/>
          <w:b/>
          <w:bCs/>
          <w:color w:val="000000" w:themeColor="text1"/>
          <w:kern w:val="24"/>
          <w:sz w:val="24"/>
          <w:szCs w:val="24"/>
          <w:lang w:eastAsia="pt-BR"/>
        </w:rPr>
        <w:t>a adotar as providências necessárias à inibição de sua participação em licitações, em processo administrativo específico, assegurado o contraditório e a ampla defesa a todos os interessados.</w:t>
      </w:r>
    </w:p>
    <w:p w:rsidR="00B026DF" w:rsidRPr="00B026DF" w:rsidRDefault="00B026DF" w:rsidP="00627771">
      <w:pPr>
        <w:spacing w:line="240" w:lineRule="auto"/>
        <w:jc w:val="both"/>
        <w:rPr>
          <w:rFonts w:ascii="Arial" w:eastAsia="Times New Roman" w:hAnsi="Arial" w:cs="Arial"/>
          <w:sz w:val="24"/>
          <w:szCs w:val="24"/>
          <w:lang w:eastAsia="pt-BR"/>
        </w:rPr>
      </w:pPr>
      <w:r w:rsidRPr="00B026DF">
        <w:rPr>
          <w:rFonts w:ascii="Arial" w:eastAsia="Times New Roman" w:hAnsi="Arial" w:cs="Arial"/>
          <w:color w:val="000000" w:themeColor="text1"/>
          <w:kern w:val="24"/>
          <w:sz w:val="24"/>
          <w:szCs w:val="24"/>
          <w:lang w:eastAsia="pt-BR"/>
        </w:rPr>
        <w:t>9.6</w:t>
      </w:r>
      <w:r w:rsidRPr="00B026DF">
        <w:rPr>
          <w:rFonts w:ascii="Arial" w:eastAsia="Times New Roman" w:hAnsi="Arial" w:cs="Arial"/>
          <w:b/>
          <w:bCs/>
          <w:color w:val="000000" w:themeColor="text1"/>
          <w:kern w:val="24"/>
          <w:sz w:val="24"/>
          <w:szCs w:val="24"/>
          <w:lang w:eastAsia="pt-BR"/>
        </w:rPr>
        <w:t>. recomendar</w:t>
      </w:r>
      <w:r w:rsidRPr="00B026DF">
        <w:rPr>
          <w:rFonts w:ascii="Arial" w:eastAsia="Times New Roman" w:hAnsi="Arial" w:cs="Arial"/>
          <w:color w:val="000000" w:themeColor="text1"/>
          <w:kern w:val="24"/>
          <w:sz w:val="24"/>
          <w:szCs w:val="24"/>
          <w:lang w:eastAsia="pt-BR"/>
        </w:rPr>
        <w:t xml:space="preserve"> ao Ministério do Planejamento, Orçamento e Gestão, ao Ministério da Fazenda e à Controladoria-Geral da União </w:t>
      </w:r>
      <w:r w:rsidRPr="00B026DF">
        <w:rPr>
          <w:rFonts w:ascii="Arial" w:eastAsia="Times New Roman" w:hAnsi="Arial" w:cs="Arial"/>
          <w:b/>
          <w:bCs/>
          <w:color w:val="000000" w:themeColor="text1"/>
          <w:kern w:val="24"/>
          <w:sz w:val="24"/>
          <w:szCs w:val="24"/>
          <w:lang w:eastAsia="pt-BR"/>
        </w:rPr>
        <w:t>que incluam na Portaria Interministerial CGU/MF/MP 507/2011</w:t>
      </w:r>
      <w:r w:rsidRPr="00B026DF">
        <w:rPr>
          <w:rFonts w:ascii="Arial" w:eastAsia="Times New Roman" w:hAnsi="Arial" w:cs="Arial"/>
          <w:color w:val="000000" w:themeColor="text1"/>
          <w:kern w:val="24"/>
          <w:sz w:val="24"/>
          <w:szCs w:val="24"/>
          <w:lang w:eastAsia="pt-BR"/>
        </w:rPr>
        <w:t xml:space="preserve">, ou em outra que venha a substituí-la, </w:t>
      </w:r>
      <w:r w:rsidRPr="00B026DF">
        <w:rPr>
          <w:rFonts w:ascii="Arial" w:eastAsia="Times New Roman" w:hAnsi="Arial" w:cs="Arial"/>
          <w:b/>
          <w:bCs/>
          <w:color w:val="000000" w:themeColor="text1"/>
          <w:kern w:val="24"/>
          <w:sz w:val="24"/>
          <w:szCs w:val="24"/>
          <w:lang w:eastAsia="pt-BR"/>
        </w:rPr>
        <w:t xml:space="preserve">cláusula que vede, na hipótese de aplicação de recursos </w:t>
      </w:r>
      <w:r w:rsidRPr="00B026DF">
        <w:rPr>
          <w:rFonts w:ascii="Arial" w:eastAsia="Times New Roman" w:hAnsi="Arial" w:cs="Arial"/>
          <w:b/>
          <w:bCs/>
          <w:color w:val="000000" w:themeColor="text1"/>
          <w:kern w:val="24"/>
          <w:sz w:val="24"/>
          <w:szCs w:val="24"/>
          <w:lang w:eastAsia="pt-BR"/>
        </w:rPr>
        <w:lastRenderedPageBreak/>
        <w:t xml:space="preserve">federais a serem repassados mediante convênio ou instrumento congênere, a participação em licitação ou a contratação de empresas que constem do cadastro de empresas inidôneas do Tribunal de Contas da União, da Controladoria-Geral da União ou do </w:t>
      </w:r>
      <w:proofErr w:type="spellStart"/>
      <w:r w:rsidRPr="00B026DF">
        <w:rPr>
          <w:rFonts w:ascii="Arial" w:eastAsia="Times New Roman" w:hAnsi="Arial" w:cs="Arial"/>
          <w:b/>
          <w:bCs/>
          <w:color w:val="000000" w:themeColor="text1"/>
          <w:kern w:val="24"/>
          <w:sz w:val="24"/>
          <w:szCs w:val="24"/>
          <w:lang w:eastAsia="pt-BR"/>
        </w:rPr>
        <w:t>Sicaf</w:t>
      </w:r>
      <w:proofErr w:type="spellEnd"/>
      <w:r w:rsidRPr="00B026DF">
        <w:rPr>
          <w:rFonts w:ascii="Arial" w:eastAsia="Times New Roman" w:hAnsi="Arial" w:cs="Arial"/>
          <w:color w:val="000000" w:themeColor="text1"/>
          <w:kern w:val="24"/>
          <w:sz w:val="24"/>
          <w:szCs w:val="24"/>
          <w:lang w:eastAsia="pt-BR"/>
        </w:rPr>
        <w:t>;</w:t>
      </w:r>
    </w:p>
    <w:p w:rsidR="00B026DF" w:rsidRPr="00B026DF" w:rsidRDefault="00B026DF" w:rsidP="00627771">
      <w:pPr>
        <w:spacing w:line="240" w:lineRule="auto"/>
        <w:jc w:val="both"/>
        <w:rPr>
          <w:rFonts w:ascii="Arial" w:eastAsia="Times New Roman" w:hAnsi="Arial" w:cs="Arial"/>
          <w:sz w:val="24"/>
          <w:szCs w:val="24"/>
          <w:lang w:eastAsia="pt-BR"/>
        </w:rPr>
      </w:pPr>
      <w:r w:rsidRPr="00B026DF">
        <w:rPr>
          <w:rFonts w:ascii="Arial" w:eastAsia="Times New Roman" w:hAnsi="Arial" w:cs="Arial"/>
          <w:color w:val="000000" w:themeColor="text1"/>
          <w:kern w:val="24"/>
          <w:sz w:val="24"/>
          <w:szCs w:val="24"/>
          <w:lang w:eastAsia="pt-BR"/>
        </w:rPr>
        <w:t xml:space="preserve"> (...)”</w:t>
      </w:r>
    </w:p>
    <w:p w:rsidR="00B026DF" w:rsidRPr="00627771" w:rsidRDefault="00B026DF" w:rsidP="00627771">
      <w:pPr>
        <w:jc w:val="both"/>
        <w:rPr>
          <w:rFonts w:ascii="Arial" w:eastAsia="Times New Roman" w:hAnsi="Arial" w:cs="Arial"/>
          <w:color w:val="000000" w:themeColor="text1"/>
          <w:kern w:val="24"/>
          <w:sz w:val="24"/>
          <w:szCs w:val="24"/>
          <w:lang w:eastAsia="pt-BR"/>
        </w:rPr>
      </w:pPr>
      <w:r w:rsidRPr="00627771">
        <w:rPr>
          <w:rFonts w:ascii="Arial" w:eastAsia="Times New Roman" w:hAnsi="Arial" w:cs="Arial"/>
          <w:color w:val="000000" w:themeColor="text1"/>
          <w:kern w:val="24"/>
          <w:sz w:val="24"/>
          <w:szCs w:val="24"/>
          <w:lang w:eastAsia="pt-BR"/>
        </w:rPr>
        <w:t>(</w:t>
      </w:r>
      <w:r w:rsidRPr="00627771">
        <w:rPr>
          <w:rFonts w:ascii="Arial" w:eastAsia="Times New Roman" w:hAnsi="Arial" w:cs="Arial"/>
          <w:b/>
          <w:bCs/>
          <w:color w:val="000000" w:themeColor="text1"/>
          <w:kern w:val="24"/>
          <w:sz w:val="24"/>
          <w:szCs w:val="24"/>
          <w:lang w:eastAsia="pt-BR"/>
        </w:rPr>
        <w:t xml:space="preserve">Acórdão 495/2013 </w:t>
      </w:r>
      <w:r w:rsidRPr="00627771">
        <w:rPr>
          <w:rFonts w:ascii="Arial" w:eastAsia="Times New Roman" w:hAnsi="Arial" w:cs="Arial"/>
          <w:color w:val="000000" w:themeColor="text1"/>
          <w:kern w:val="24"/>
          <w:sz w:val="24"/>
          <w:szCs w:val="24"/>
          <w:lang w:eastAsia="pt-BR"/>
        </w:rPr>
        <w:t>– Relator Min. Raimundo Carreiro)</w:t>
      </w:r>
    </w:p>
    <w:p w:rsidR="003C18F5" w:rsidRPr="003C18F5" w:rsidRDefault="003C18F5" w:rsidP="00627771">
      <w:pPr>
        <w:spacing w:before="240" w:line="256" w:lineRule="auto"/>
        <w:jc w:val="both"/>
        <w:rPr>
          <w:rFonts w:ascii="Arial" w:eastAsia="Times New Roman" w:hAnsi="Arial" w:cs="Arial"/>
          <w:sz w:val="24"/>
          <w:szCs w:val="24"/>
          <w:lang w:eastAsia="pt-BR"/>
        </w:rPr>
      </w:pPr>
      <w:r w:rsidRPr="003C18F5">
        <w:rPr>
          <w:rFonts w:ascii="Arial" w:eastAsiaTheme="minorEastAsia" w:hAnsi="Arial" w:cs="Arial"/>
          <w:color w:val="000000" w:themeColor="text1"/>
          <w:kern w:val="24"/>
          <w:sz w:val="24"/>
          <w:szCs w:val="24"/>
          <w:lang w:eastAsia="pt-BR"/>
        </w:rPr>
        <w:t xml:space="preserve">Desde o julgamento do Acórdão 495/2013, o TCU entende que a declaração de inidoneidade </w:t>
      </w:r>
      <w:r w:rsidRPr="003C18F5">
        <w:rPr>
          <w:rFonts w:ascii="Arial" w:eastAsia="Times New Roman" w:hAnsi="Arial" w:cs="Arial"/>
          <w:color w:val="000000" w:themeColor="text1"/>
          <w:kern w:val="24"/>
          <w:sz w:val="24"/>
          <w:szCs w:val="24"/>
          <w:lang w:eastAsia="pt-BR"/>
        </w:rPr>
        <w:t>para participar de licitação na administração pública federal (art. 46 da Lei 8.443/1992) não pode ser aplicada a sócios e administradores de empresas licitantes, por falta de previsão legal.</w:t>
      </w:r>
    </w:p>
    <w:p w:rsidR="003C18F5" w:rsidRPr="003C18F5" w:rsidRDefault="003C18F5" w:rsidP="00627771">
      <w:pPr>
        <w:spacing w:before="240" w:line="256" w:lineRule="auto"/>
        <w:jc w:val="both"/>
        <w:rPr>
          <w:rFonts w:ascii="Arial" w:eastAsia="Times New Roman" w:hAnsi="Arial" w:cs="Arial"/>
          <w:sz w:val="24"/>
          <w:szCs w:val="24"/>
          <w:lang w:eastAsia="pt-BR"/>
        </w:rPr>
      </w:pPr>
      <w:r w:rsidRPr="003C18F5">
        <w:rPr>
          <w:rFonts w:ascii="Arial" w:eastAsia="Times New Roman" w:hAnsi="Arial" w:cs="Arial"/>
          <w:color w:val="000000" w:themeColor="text1"/>
          <w:kern w:val="24"/>
          <w:sz w:val="24"/>
          <w:szCs w:val="24"/>
          <w:lang w:eastAsia="pt-BR"/>
        </w:rPr>
        <w:t xml:space="preserve">No entanto, foi entendido que, caso nova sociedade empresária seja constituída, com o mesmo objeto, por qualquer um dos sócios ou administradores de empresas declaradas inidôneas, após a aplicação da sanção e no prazo de sua vigência, </w:t>
      </w:r>
      <w:r w:rsidRPr="003C18F5">
        <w:rPr>
          <w:rFonts w:ascii="Arial" w:eastAsia="Times New Roman" w:hAnsi="Arial" w:cs="Arial"/>
          <w:b/>
          <w:bCs/>
          <w:color w:val="000000" w:themeColor="text1"/>
          <w:kern w:val="24"/>
          <w:sz w:val="24"/>
          <w:szCs w:val="24"/>
          <w:u w:val="single"/>
          <w:lang w:eastAsia="pt-BR"/>
        </w:rPr>
        <w:t>a administração deve adotar as providências necessárias à inibição de participação dessa empresa em licitações, em processo administrativo específico, assegurando o contraditório e a ampla defesa a todos os interessados</w:t>
      </w:r>
      <w:r w:rsidRPr="003C18F5">
        <w:rPr>
          <w:rFonts w:ascii="Arial" w:eastAsia="Times New Roman" w:hAnsi="Arial" w:cs="Arial"/>
          <w:color w:val="000000" w:themeColor="text1"/>
          <w:kern w:val="24"/>
          <w:sz w:val="24"/>
          <w:szCs w:val="24"/>
          <w:lang w:eastAsia="pt-BR"/>
        </w:rPr>
        <w:t>.</w:t>
      </w:r>
    </w:p>
    <w:p w:rsidR="00B026DF" w:rsidRPr="00627771" w:rsidRDefault="00B026DF" w:rsidP="00627771">
      <w:pPr>
        <w:pStyle w:val="NormalWeb"/>
        <w:spacing w:before="240" w:beforeAutospacing="0" w:after="160" w:afterAutospacing="0"/>
        <w:jc w:val="both"/>
        <w:rPr>
          <w:rFonts w:ascii="Arial" w:hAnsi="Arial" w:cs="Arial"/>
        </w:rPr>
      </w:pPr>
      <w:r w:rsidRPr="00627771">
        <w:rPr>
          <w:rFonts w:ascii="Arial" w:hAnsi="Arial" w:cs="Arial"/>
          <w:color w:val="000000" w:themeColor="text1"/>
          <w:kern w:val="24"/>
        </w:rPr>
        <w:t>O voto condutor deixou consignado o seguinte registro</w:t>
      </w:r>
      <w:r w:rsidRPr="00627771">
        <w:rPr>
          <w:rFonts w:ascii="Arial" w:hAnsi="Arial" w:cs="Arial"/>
          <w:color w:val="5C5C5C"/>
          <w:kern w:val="24"/>
        </w:rPr>
        <w:t>:</w:t>
      </w:r>
    </w:p>
    <w:p w:rsidR="00B026DF" w:rsidRPr="00627771" w:rsidRDefault="00B026DF" w:rsidP="00627771">
      <w:pPr>
        <w:pStyle w:val="NormalWeb"/>
        <w:spacing w:before="240" w:beforeAutospacing="0" w:after="160" w:afterAutospacing="0"/>
        <w:jc w:val="both"/>
        <w:rPr>
          <w:rFonts w:ascii="Arial" w:hAnsi="Arial" w:cs="Arial"/>
        </w:rPr>
      </w:pPr>
      <w:r w:rsidRPr="00627771">
        <w:rPr>
          <w:rFonts w:ascii="Arial" w:hAnsi="Arial" w:cs="Arial"/>
          <w:color w:val="000000" w:themeColor="text1"/>
          <w:kern w:val="24"/>
        </w:rPr>
        <w:t xml:space="preserve">"22. </w:t>
      </w:r>
      <w:r w:rsidRPr="00627771">
        <w:rPr>
          <w:rFonts w:ascii="Arial" w:hAnsi="Arial" w:cs="Arial"/>
          <w:b/>
          <w:bCs/>
          <w:color w:val="000000" w:themeColor="text1"/>
          <w:kern w:val="24"/>
        </w:rPr>
        <w:t>Não obstante entender não ser apropriado lançar mão da teoria da desconsideração da personalidade jurídica para declarar a inidoneidade dos sócios e/ou administradores das empresas envolvidas no esquema de fraudes à licitação</w:t>
      </w:r>
      <w:r w:rsidRPr="00627771">
        <w:rPr>
          <w:rFonts w:ascii="Arial" w:hAnsi="Arial" w:cs="Arial"/>
          <w:color w:val="000000" w:themeColor="text1"/>
          <w:kern w:val="24"/>
        </w:rPr>
        <w:t>, ressalto que podem ser desenvolvidos mecanismos destinados a coibir a burla relacionada à declaração de inidoneidade de empresas, como o aperfeiçoamento do cadastro do Ministério do Planejamento, Orçamento e Gestão.</w:t>
      </w:r>
    </w:p>
    <w:p w:rsidR="00B026DF" w:rsidRPr="00627771" w:rsidRDefault="00B026DF" w:rsidP="00627771">
      <w:pPr>
        <w:pStyle w:val="NormalWeb"/>
        <w:spacing w:before="120" w:beforeAutospacing="0" w:after="120" w:afterAutospacing="0"/>
        <w:jc w:val="both"/>
        <w:rPr>
          <w:rFonts w:ascii="Arial" w:hAnsi="Arial" w:cs="Arial"/>
        </w:rPr>
      </w:pPr>
      <w:r w:rsidRPr="00627771">
        <w:rPr>
          <w:rFonts w:ascii="Arial" w:hAnsi="Arial" w:cs="Arial"/>
          <w:color w:val="000000" w:themeColor="text1"/>
          <w:kern w:val="24"/>
        </w:rPr>
        <w:t xml:space="preserve">23. Essa medida deverá permitir o cruzamento de dados de sócios e/ou de administradores de empresas que tenham sido declaradas inidôneas e de empresas fundadas pelas mesmas pessoas, ou por parentes, até o terceiro grau, que demonstrem a intenção de participar de futuras licitações dentro do prazo vigente da sanção aplicada. </w:t>
      </w:r>
    </w:p>
    <w:p w:rsidR="00B026DF" w:rsidRPr="00627771" w:rsidRDefault="00B026DF" w:rsidP="00627771">
      <w:pPr>
        <w:pStyle w:val="NormalWeb"/>
        <w:spacing w:before="120" w:beforeAutospacing="0" w:after="120" w:afterAutospacing="0"/>
        <w:jc w:val="both"/>
        <w:rPr>
          <w:rFonts w:ascii="Arial" w:hAnsi="Arial" w:cs="Arial"/>
        </w:rPr>
      </w:pPr>
      <w:r w:rsidRPr="00627771">
        <w:rPr>
          <w:rFonts w:ascii="Arial" w:hAnsi="Arial" w:cs="Arial"/>
          <w:color w:val="000000" w:themeColor="text1"/>
          <w:kern w:val="24"/>
        </w:rPr>
        <w:t xml:space="preserve">Caso a sociedade empresária tenha sido fundada após a aplicação da sanção a que se refere o art. 46 da Lei 8.443/92 e dentro de seu período de vigência, a Administração contará com instrumento hábil à inibição da participação de sócios e/ou de administradores de empresas declaradas inidôneas, </w:t>
      </w:r>
      <w:r w:rsidRPr="00627771">
        <w:rPr>
          <w:rFonts w:ascii="Arial" w:hAnsi="Arial" w:cs="Arial"/>
          <w:b/>
          <w:bCs/>
          <w:color w:val="000000" w:themeColor="text1"/>
          <w:kern w:val="24"/>
        </w:rPr>
        <w:t>em processo administrativo específico, assegurado o contraditório e a ampla defesa a todos os interessados.</w:t>
      </w:r>
      <w:r w:rsidRPr="00627771">
        <w:rPr>
          <w:rFonts w:ascii="Arial" w:hAnsi="Arial" w:cs="Arial"/>
          <w:color w:val="000000" w:themeColor="text1"/>
          <w:kern w:val="24"/>
        </w:rPr>
        <w:t>”</w:t>
      </w:r>
    </w:p>
    <w:p w:rsidR="00B026DF" w:rsidRDefault="00B026DF" w:rsidP="00627771">
      <w:pPr>
        <w:jc w:val="both"/>
        <w:rPr>
          <w:rFonts w:ascii="Arial" w:hAnsi="Arial" w:cs="Arial"/>
          <w:sz w:val="24"/>
          <w:szCs w:val="24"/>
        </w:rPr>
      </w:pPr>
    </w:p>
    <w:p w:rsidR="00627771" w:rsidRPr="003C18F5" w:rsidRDefault="00627771" w:rsidP="00627771">
      <w:pPr>
        <w:spacing w:after="0" w:line="240" w:lineRule="auto"/>
        <w:jc w:val="both"/>
        <w:rPr>
          <w:rFonts w:ascii="Arial" w:eastAsia="Times New Roman" w:hAnsi="Arial" w:cs="Arial"/>
          <w:sz w:val="24"/>
          <w:szCs w:val="24"/>
          <w:lang w:eastAsia="pt-BR"/>
        </w:rPr>
      </w:pPr>
      <w:r w:rsidRPr="003C18F5">
        <w:rPr>
          <w:rFonts w:ascii="Arial" w:eastAsiaTheme="minorEastAsia" w:hAnsi="Arial" w:cs="Arial"/>
          <w:color w:val="000000" w:themeColor="text1"/>
          <w:kern w:val="24"/>
          <w:sz w:val="24"/>
          <w:szCs w:val="24"/>
          <w:lang w:eastAsia="pt-BR"/>
        </w:rPr>
        <w:t>(Acórdão 1761/2021 – Relator Min. BENJAMIN ZYMLER)</w:t>
      </w:r>
    </w:p>
    <w:p w:rsidR="003C18F5" w:rsidRPr="003C18F5" w:rsidRDefault="003C18F5" w:rsidP="00627771">
      <w:pPr>
        <w:spacing w:after="0" w:line="240" w:lineRule="auto"/>
        <w:jc w:val="both"/>
        <w:rPr>
          <w:rFonts w:ascii="Arial" w:eastAsia="Times New Roman" w:hAnsi="Arial" w:cs="Arial"/>
          <w:sz w:val="24"/>
          <w:szCs w:val="24"/>
          <w:lang w:eastAsia="pt-BR"/>
        </w:rPr>
      </w:pPr>
      <w:r w:rsidRPr="003C18F5">
        <w:rPr>
          <w:rFonts w:ascii="Arial" w:eastAsiaTheme="minorEastAsia" w:hAnsi="Arial" w:cs="Arial"/>
          <w:color w:val="000000" w:themeColor="text1"/>
          <w:kern w:val="24"/>
          <w:sz w:val="24"/>
          <w:szCs w:val="24"/>
          <w:lang w:eastAsia="pt-BR"/>
        </w:rPr>
        <w:t xml:space="preserve">REPRESENTAÇÃO. JUSTIÇA FEDERAL. FRAUDES EM DIVERSAS LICITAÇÕES DE ÓRGÃOS FEDERAIS. UTILIZAÇÃO DE EMPRESA INTERPOSTA PARA SE BENEFICIAR DAS CONDIÇÕES FAVORÁVEIS PREVISTAS NA LEI COMPLEMENTAR 123/2006. OITIVA DAS EMPRESAS E </w:t>
      </w:r>
      <w:r w:rsidRPr="003C18F5">
        <w:rPr>
          <w:rFonts w:ascii="Arial" w:eastAsiaTheme="minorEastAsia" w:hAnsi="Arial" w:cs="Arial"/>
          <w:color w:val="000000" w:themeColor="text1"/>
          <w:kern w:val="24"/>
          <w:sz w:val="24"/>
          <w:szCs w:val="24"/>
          <w:lang w:eastAsia="pt-BR"/>
        </w:rPr>
        <w:lastRenderedPageBreak/>
        <w:t>DOS SÓCIOS. REJEIÇÃO DOS ARGUMENTOS APRESENTADOS. INIDONEIDADE DAS EMPRESAS. CIÊNCIA.</w:t>
      </w:r>
    </w:p>
    <w:p w:rsidR="003C18F5" w:rsidRPr="003C18F5" w:rsidRDefault="003C18F5" w:rsidP="00627771">
      <w:pPr>
        <w:spacing w:after="0" w:line="240" w:lineRule="auto"/>
        <w:jc w:val="both"/>
        <w:rPr>
          <w:rFonts w:ascii="Arial" w:eastAsia="Times New Roman" w:hAnsi="Arial" w:cs="Arial"/>
          <w:sz w:val="24"/>
          <w:szCs w:val="24"/>
          <w:lang w:eastAsia="pt-BR"/>
        </w:rPr>
      </w:pPr>
      <w:r w:rsidRPr="003C18F5">
        <w:rPr>
          <w:rFonts w:ascii="Arial" w:eastAsiaTheme="minorEastAsia" w:hAnsi="Arial" w:cs="Arial"/>
          <w:b/>
          <w:bCs/>
          <w:caps/>
          <w:color w:val="000000" w:themeColor="text1"/>
          <w:kern w:val="24"/>
          <w:sz w:val="24"/>
          <w:szCs w:val="24"/>
          <w:lang w:eastAsia="pt-BR"/>
        </w:rPr>
        <w:t>ACÓRDÃO</w:t>
      </w:r>
    </w:p>
    <w:p w:rsidR="003C18F5" w:rsidRPr="003C18F5" w:rsidRDefault="003C18F5" w:rsidP="00627771">
      <w:pPr>
        <w:spacing w:after="0" w:line="240" w:lineRule="auto"/>
        <w:jc w:val="both"/>
        <w:rPr>
          <w:rFonts w:ascii="Arial" w:eastAsia="Times New Roman" w:hAnsi="Arial" w:cs="Arial"/>
          <w:sz w:val="24"/>
          <w:szCs w:val="24"/>
          <w:lang w:eastAsia="pt-BR"/>
        </w:rPr>
      </w:pPr>
      <w:r w:rsidRPr="003C18F5">
        <w:rPr>
          <w:rFonts w:ascii="Arial" w:eastAsiaTheme="minorEastAsia" w:hAnsi="Arial" w:cs="Arial"/>
          <w:color w:val="000000" w:themeColor="text1"/>
          <w:kern w:val="24"/>
          <w:sz w:val="24"/>
          <w:szCs w:val="24"/>
          <w:lang w:eastAsia="pt-BR"/>
        </w:rPr>
        <w:t>VISTOS, relatados e discutidos estes autos de representação formulada pela 22ª Vara Federal de Porto Alegre/RS noticiando a utilização, por licitante não enquadrada como microempresa ou como empresa de pequeno porte (</w:t>
      </w:r>
      <w:proofErr w:type="spellStart"/>
      <w:r w:rsidRPr="003C18F5">
        <w:rPr>
          <w:rFonts w:ascii="Arial" w:eastAsiaTheme="minorEastAsia" w:hAnsi="Arial" w:cs="Arial"/>
          <w:color w:val="000000" w:themeColor="text1"/>
          <w:kern w:val="24"/>
          <w:sz w:val="24"/>
          <w:szCs w:val="24"/>
          <w:lang w:eastAsia="pt-BR"/>
        </w:rPr>
        <w:t>Comabe</w:t>
      </w:r>
      <w:proofErr w:type="spellEnd"/>
      <w:r w:rsidRPr="003C18F5">
        <w:rPr>
          <w:rFonts w:ascii="Arial" w:eastAsiaTheme="minorEastAsia" w:hAnsi="Arial" w:cs="Arial"/>
          <w:color w:val="000000" w:themeColor="text1"/>
          <w:kern w:val="24"/>
          <w:sz w:val="24"/>
          <w:szCs w:val="24"/>
          <w:lang w:eastAsia="pt-BR"/>
        </w:rPr>
        <w:t xml:space="preserve"> Automação de Escritório Ltda.) , de intermediária (Barqueiro Soluções de Escritório Ltda.) que preencha os requisitos constantes na Lei Complementar 123/2006 para se beneficiar de licitações de órgãos federais,</w:t>
      </w:r>
    </w:p>
    <w:p w:rsidR="003C18F5" w:rsidRPr="003C18F5" w:rsidRDefault="003C18F5" w:rsidP="00627771">
      <w:pPr>
        <w:spacing w:after="0" w:line="240" w:lineRule="auto"/>
        <w:jc w:val="both"/>
        <w:rPr>
          <w:rFonts w:ascii="Arial" w:eastAsia="Times New Roman" w:hAnsi="Arial" w:cs="Arial"/>
          <w:sz w:val="24"/>
          <w:szCs w:val="24"/>
          <w:lang w:eastAsia="pt-BR"/>
        </w:rPr>
      </w:pPr>
      <w:r w:rsidRPr="003C18F5">
        <w:rPr>
          <w:rFonts w:ascii="Arial" w:eastAsiaTheme="minorEastAsia" w:hAnsi="Arial" w:cs="Arial"/>
          <w:color w:val="000000" w:themeColor="text1"/>
          <w:kern w:val="24"/>
          <w:sz w:val="24"/>
          <w:szCs w:val="24"/>
          <w:lang w:eastAsia="pt-BR"/>
        </w:rPr>
        <w:t>ACORDAM os Ministros do Tribunal de Contas da União, reunidos em sessão do Plenário, ante as razões expostas pelo Relator, em:</w:t>
      </w:r>
    </w:p>
    <w:p w:rsidR="003C18F5" w:rsidRPr="003C18F5" w:rsidRDefault="003C18F5" w:rsidP="00627771">
      <w:pPr>
        <w:spacing w:after="0" w:line="240" w:lineRule="auto"/>
        <w:jc w:val="both"/>
        <w:rPr>
          <w:rFonts w:ascii="Arial" w:eastAsia="Times New Roman" w:hAnsi="Arial" w:cs="Arial"/>
          <w:sz w:val="24"/>
          <w:szCs w:val="24"/>
          <w:lang w:eastAsia="pt-BR"/>
        </w:rPr>
      </w:pPr>
      <w:r w:rsidRPr="003C18F5">
        <w:rPr>
          <w:rFonts w:ascii="Arial" w:eastAsiaTheme="minorEastAsia" w:hAnsi="Arial" w:cs="Arial"/>
          <w:color w:val="000000" w:themeColor="text1"/>
          <w:kern w:val="24"/>
          <w:sz w:val="24"/>
          <w:szCs w:val="24"/>
          <w:lang w:eastAsia="pt-BR"/>
        </w:rPr>
        <w:t xml:space="preserve">9.1. conhecer da representação, satisfeitos os requisitos de admissibilidade constantes no art. 113, § 1º, da Lei 8.666/1993, c/c os </w:t>
      </w:r>
      <w:proofErr w:type="spellStart"/>
      <w:r w:rsidRPr="003C18F5">
        <w:rPr>
          <w:rFonts w:ascii="Arial" w:eastAsiaTheme="minorEastAsia" w:hAnsi="Arial" w:cs="Arial"/>
          <w:color w:val="000000" w:themeColor="text1"/>
          <w:kern w:val="24"/>
          <w:sz w:val="24"/>
          <w:szCs w:val="24"/>
          <w:lang w:eastAsia="pt-BR"/>
        </w:rPr>
        <w:t>arts</w:t>
      </w:r>
      <w:proofErr w:type="spellEnd"/>
      <w:r w:rsidRPr="003C18F5">
        <w:rPr>
          <w:rFonts w:ascii="Arial" w:eastAsiaTheme="minorEastAsia" w:hAnsi="Arial" w:cs="Arial"/>
          <w:color w:val="000000" w:themeColor="text1"/>
          <w:kern w:val="24"/>
          <w:sz w:val="24"/>
          <w:szCs w:val="24"/>
          <w:lang w:eastAsia="pt-BR"/>
        </w:rPr>
        <w:t>. 235 e 237, III, do Regimento Interno deste Tribunal, para, no mérito, considerá-la procedente;</w:t>
      </w:r>
    </w:p>
    <w:p w:rsidR="003C18F5" w:rsidRPr="003C18F5" w:rsidRDefault="003C18F5" w:rsidP="00627771">
      <w:pPr>
        <w:spacing w:after="0" w:line="240" w:lineRule="auto"/>
        <w:jc w:val="both"/>
        <w:rPr>
          <w:rFonts w:ascii="Arial" w:eastAsia="Times New Roman" w:hAnsi="Arial" w:cs="Arial"/>
          <w:sz w:val="24"/>
          <w:szCs w:val="24"/>
          <w:lang w:eastAsia="pt-BR"/>
        </w:rPr>
      </w:pPr>
      <w:r w:rsidRPr="003C18F5">
        <w:rPr>
          <w:rFonts w:ascii="Arial" w:eastAsiaTheme="minorEastAsia" w:hAnsi="Arial" w:cs="Arial"/>
          <w:color w:val="000000" w:themeColor="text1"/>
          <w:kern w:val="24"/>
          <w:sz w:val="24"/>
          <w:szCs w:val="24"/>
          <w:lang w:eastAsia="pt-BR"/>
        </w:rPr>
        <w:t xml:space="preserve">9.2. </w:t>
      </w:r>
      <w:r w:rsidRPr="003C18F5">
        <w:rPr>
          <w:rFonts w:ascii="Arial" w:eastAsiaTheme="minorEastAsia" w:hAnsi="Arial" w:cs="Arial"/>
          <w:b/>
          <w:bCs/>
          <w:color w:val="000000" w:themeColor="text1"/>
          <w:kern w:val="24"/>
          <w:sz w:val="24"/>
          <w:szCs w:val="24"/>
          <w:lang w:eastAsia="pt-BR"/>
        </w:rPr>
        <w:t xml:space="preserve">declarar, com fundamento no art. 46 da Lei 8.443/1992, a inidoneidade das sociedades empresárias </w:t>
      </w:r>
      <w:proofErr w:type="spellStart"/>
      <w:r w:rsidRPr="003C18F5">
        <w:rPr>
          <w:rFonts w:ascii="Arial" w:eastAsiaTheme="minorEastAsia" w:hAnsi="Arial" w:cs="Arial"/>
          <w:b/>
          <w:bCs/>
          <w:color w:val="000000" w:themeColor="text1"/>
          <w:kern w:val="24"/>
          <w:sz w:val="24"/>
          <w:szCs w:val="24"/>
          <w:lang w:eastAsia="pt-BR"/>
        </w:rPr>
        <w:t>Comabe</w:t>
      </w:r>
      <w:proofErr w:type="spellEnd"/>
      <w:r w:rsidRPr="003C18F5">
        <w:rPr>
          <w:rFonts w:ascii="Arial" w:eastAsiaTheme="minorEastAsia" w:hAnsi="Arial" w:cs="Arial"/>
          <w:b/>
          <w:bCs/>
          <w:color w:val="000000" w:themeColor="text1"/>
          <w:kern w:val="24"/>
          <w:sz w:val="24"/>
          <w:szCs w:val="24"/>
          <w:lang w:eastAsia="pt-BR"/>
        </w:rPr>
        <w:t xml:space="preserve"> Automação de Escritórios Ltda. e Barqueiro Soluções de Escritório Ltda</w:t>
      </w:r>
      <w:r w:rsidRPr="003C18F5">
        <w:rPr>
          <w:rFonts w:ascii="Arial" w:eastAsiaTheme="minorEastAsia" w:hAnsi="Arial" w:cs="Arial"/>
          <w:color w:val="000000" w:themeColor="text1"/>
          <w:kern w:val="24"/>
          <w:sz w:val="24"/>
          <w:szCs w:val="24"/>
          <w:lang w:eastAsia="pt-BR"/>
        </w:rPr>
        <w:t>. para participar de licitação na administração pública federal, bem como de certames promovidos por estados e municípios cujos objetos sejam custeados por recursos federais, pelo prazo de três anos;</w:t>
      </w:r>
    </w:p>
    <w:p w:rsidR="003C18F5" w:rsidRPr="00627771" w:rsidRDefault="003C18F5" w:rsidP="00627771">
      <w:pPr>
        <w:spacing w:after="0" w:line="240" w:lineRule="auto"/>
        <w:jc w:val="both"/>
        <w:rPr>
          <w:rFonts w:ascii="Arial" w:eastAsiaTheme="minorEastAsia" w:hAnsi="Arial" w:cs="Arial"/>
          <w:color w:val="000000" w:themeColor="text1"/>
          <w:kern w:val="24"/>
          <w:sz w:val="24"/>
          <w:szCs w:val="24"/>
          <w:lang w:eastAsia="pt-BR"/>
        </w:rPr>
      </w:pPr>
      <w:r w:rsidRPr="003C18F5">
        <w:rPr>
          <w:rFonts w:ascii="Arial" w:eastAsiaTheme="minorEastAsia" w:hAnsi="Arial" w:cs="Arial"/>
          <w:color w:val="000000" w:themeColor="text1"/>
          <w:kern w:val="24"/>
          <w:sz w:val="24"/>
          <w:szCs w:val="24"/>
          <w:lang w:eastAsia="pt-BR"/>
        </w:rPr>
        <w:t>(...)”</w:t>
      </w:r>
    </w:p>
    <w:p w:rsidR="003C18F5" w:rsidRPr="003C18F5" w:rsidRDefault="003C18F5" w:rsidP="00627771">
      <w:pPr>
        <w:spacing w:after="0" w:line="240" w:lineRule="auto"/>
        <w:jc w:val="both"/>
        <w:rPr>
          <w:rFonts w:ascii="Arial" w:eastAsia="Times New Roman" w:hAnsi="Arial" w:cs="Arial"/>
          <w:sz w:val="24"/>
          <w:szCs w:val="24"/>
          <w:lang w:eastAsia="pt-BR"/>
        </w:rPr>
      </w:pPr>
      <w:r w:rsidRPr="003C18F5">
        <w:rPr>
          <w:rFonts w:ascii="Arial" w:eastAsiaTheme="minorEastAsia" w:hAnsi="Arial" w:cs="Arial"/>
          <w:b/>
          <w:bCs/>
          <w:caps/>
          <w:color w:val="000000" w:themeColor="text1"/>
          <w:kern w:val="24"/>
          <w:sz w:val="24"/>
          <w:szCs w:val="24"/>
          <w:lang w:eastAsia="pt-BR"/>
        </w:rPr>
        <w:t>VOTO:</w:t>
      </w:r>
    </w:p>
    <w:p w:rsidR="003C18F5" w:rsidRPr="003C18F5" w:rsidRDefault="003C18F5" w:rsidP="00627771">
      <w:pPr>
        <w:spacing w:after="0" w:line="240" w:lineRule="auto"/>
        <w:jc w:val="both"/>
        <w:rPr>
          <w:rFonts w:ascii="Arial" w:eastAsia="Times New Roman" w:hAnsi="Arial" w:cs="Arial"/>
          <w:sz w:val="24"/>
          <w:szCs w:val="24"/>
          <w:lang w:eastAsia="pt-BR"/>
        </w:rPr>
      </w:pPr>
      <w:r w:rsidRPr="003C18F5">
        <w:rPr>
          <w:rFonts w:ascii="Arial" w:eastAsiaTheme="minorEastAsia" w:hAnsi="Arial" w:cs="Arial"/>
          <w:color w:val="000000" w:themeColor="text1"/>
          <w:kern w:val="24"/>
          <w:sz w:val="24"/>
          <w:szCs w:val="24"/>
          <w:lang w:eastAsia="pt-BR"/>
        </w:rPr>
        <w:t xml:space="preserve">Trata-se de representação formulada pela 22ª Vara Federal de Porto Alegre/RS noticiando possíveis fraudes em licitações federais conduzidas pela empresa </w:t>
      </w:r>
      <w:proofErr w:type="spellStart"/>
      <w:r w:rsidRPr="003C18F5">
        <w:rPr>
          <w:rFonts w:ascii="Arial" w:eastAsiaTheme="minorEastAsia" w:hAnsi="Arial" w:cs="Arial"/>
          <w:color w:val="000000" w:themeColor="text1"/>
          <w:kern w:val="24"/>
          <w:sz w:val="24"/>
          <w:szCs w:val="24"/>
          <w:lang w:eastAsia="pt-BR"/>
        </w:rPr>
        <w:t>Comabe</w:t>
      </w:r>
      <w:proofErr w:type="spellEnd"/>
      <w:r w:rsidRPr="003C18F5">
        <w:rPr>
          <w:rFonts w:ascii="Arial" w:eastAsiaTheme="minorEastAsia" w:hAnsi="Arial" w:cs="Arial"/>
          <w:color w:val="000000" w:themeColor="text1"/>
          <w:kern w:val="24"/>
          <w:sz w:val="24"/>
          <w:szCs w:val="24"/>
          <w:lang w:eastAsia="pt-BR"/>
        </w:rPr>
        <w:t xml:space="preserve"> Automação de Escritório Ltda. e pela microempresa Barqueiro Soluções de Escritório Ltda., em que a primeira se utiliza da segunda para vencer certames e obter os privilégios instituídos pela Lei Complementar 123/2006.</w:t>
      </w:r>
    </w:p>
    <w:p w:rsidR="003C18F5" w:rsidRPr="003C18F5" w:rsidRDefault="003C18F5" w:rsidP="00627771">
      <w:pPr>
        <w:spacing w:after="0" w:line="240" w:lineRule="auto"/>
        <w:jc w:val="both"/>
        <w:rPr>
          <w:rFonts w:ascii="Arial" w:eastAsia="Times New Roman" w:hAnsi="Arial" w:cs="Arial"/>
          <w:sz w:val="24"/>
          <w:szCs w:val="24"/>
          <w:lang w:eastAsia="pt-BR"/>
        </w:rPr>
      </w:pPr>
      <w:r w:rsidRPr="003C18F5">
        <w:rPr>
          <w:rFonts w:ascii="Arial" w:eastAsiaTheme="minorEastAsia" w:hAnsi="Arial" w:cs="Arial"/>
          <w:color w:val="000000" w:themeColor="text1"/>
          <w:kern w:val="24"/>
          <w:sz w:val="24"/>
          <w:szCs w:val="24"/>
          <w:lang w:eastAsia="pt-BR"/>
        </w:rPr>
        <w:t xml:space="preserve">2. Narra a representante que a Barqueiro seria uma empresa de fachada, sem funcionários cadastrados, constituída apenas para participar de licitações, sediada no mesmo endereço da empresa </w:t>
      </w:r>
      <w:proofErr w:type="spellStart"/>
      <w:r w:rsidRPr="003C18F5">
        <w:rPr>
          <w:rFonts w:ascii="Arial" w:eastAsiaTheme="minorEastAsia" w:hAnsi="Arial" w:cs="Arial"/>
          <w:color w:val="000000" w:themeColor="text1"/>
          <w:kern w:val="24"/>
          <w:sz w:val="24"/>
          <w:szCs w:val="24"/>
          <w:lang w:eastAsia="pt-BR"/>
        </w:rPr>
        <w:t>Comabe</w:t>
      </w:r>
      <w:proofErr w:type="spellEnd"/>
      <w:r w:rsidRPr="003C18F5">
        <w:rPr>
          <w:rFonts w:ascii="Arial" w:eastAsiaTheme="minorEastAsia" w:hAnsi="Arial" w:cs="Arial"/>
          <w:color w:val="000000" w:themeColor="text1"/>
          <w:kern w:val="24"/>
          <w:sz w:val="24"/>
          <w:szCs w:val="24"/>
          <w:lang w:eastAsia="pt-BR"/>
        </w:rPr>
        <w:t xml:space="preserve"> e com a dependência operacional desta última. Aponta que o quadro societário das empresas comporia uma relação familiar (de pai e filhos) , sendo que os sócios da microempresa desempenhariam funções administrativas na outra sociedade.</w:t>
      </w:r>
    </w:p>
    <w:p w:rsidR="003C18F5" w:rsidRPr="003C18F5" w:rsidRDefault="003C18F5" w:rsidP="00627771">
      <w:pPr>
        <w:spacing w:after="0" w:line="240" w:lineRule="auto"/>
        <w:jc w:val="both"/>
        <w:rPr>
          <w:rFonts w:ascii="Arial" w:eastAsia="Times New Roman" w:hAnsi="Arial" w:cs="Arial"/>
          <w:sz w:val="24"/>
          <w:szCs w:val="24"/>
          <w:lang w:eastAsia="pt-BR"/>
        </w:rPr>
      </w:pPr>
      <w:r w:rsidRPr="003C18F5">
        <w:rPr>
          <w:rFonts w:ascii="Arial" w:eastAsiaTheme="minorEastAsia" w:hAnsi="Arial" w:cs="Arial"/>
          <w:color w:val="000000" w:themeColor="text1"/>
          <w:kern w:val="24"/>
          <w:sz w:val="24"/>
          <w:szCs w:val="24"/>
          <w:lang w:eastAsia="pt-BR"/>
        </w:rPr>
        <w:t>(...)</w:t>
      </w:r>
    </w:p>
    <w:p w:rsidR="003C18F5" w:rsidRPr="003C18F5" w:rsidRDefault="003C18F5" w:rsidP="00627771">
      <w:pPr>
        <w:spacing w:after="0" w:line="240" w:lineRule="auto"/>
        <w:jc w:val="both"/>
        <w:rPr>
          <w:rFonts w:ascii="Arial" w:eastAsia="Times New Roman" w:hAnsi="Arial" w:cs="Arial"/>
          <w:sz w:val="24"/>
          <w:szCs w:val="24"/>
          <w:lang w:eastAsia="pt-BR"/>
        </w:rPr>
      </w:pPr>
      <w:r w:rsidRPr="003C18F5">
        <w:rPr>
          <w:rFonts w:ascii="Arial" w:eastAsiaTheme="minorEastAsia" w:hAnsi="Arial" w:cs="Arial"/>
          <w:color w:val="000000" w:themeColor="text1"/>
          <w:kern w:val="24"/>
          <w:sz w:val="24"/>
          <w:szCs w:val="24"/>
          <w:lang w:eastAsia="pt-BR"/>
        </w:rPr>
        <w:t xml:space="preserve">10. </w:t>
      </w:r>
      <w:r w:rsidRPr="003C18F5">
        <w:rPr>
          <w:rFonts w:ascii="Arial" w:eastAsiaTheme="minorEastAsia" w:hAnsi="Arial" w:cs="Arial"/>
          <w:b/>
          <w:bCs/>
          <w:color w:val="000000" w:themeColor="text1"/>
          <w:kern w:val="24"/>
          <w:sz w:val="24"/>
          <w:szCs w:val="24"/>
          <w:u w:val="single"/>
          <w:lang w:eastAsia="pt-BR"/>
        </w:rPr>
        <w:t>Acolho parcialmente a proposta da unidade técnica</w:t>
      </w:r>
      <w:r w:rsidRPr="003C18F5">
        <w:rPr>
          <w:rFonts w:ascii="Arial" w:eastAsiaTheme="minorEastAsia" w:hAnsi="Arial" w:cs="Arial"/>
          <w:color w:val="000000" w:themeColor="text1"/>
          <w:kern w:val="24"/>
          <w:sz w:val="24"/>
          <w:szCs w:val="24"/>
          <w:lang w:eastAsia="pt-BR"/>
        </w:rPr>
        <w:t>, cujos fundamentos incorporo como razões de decidir naquilo que não divergirmos, sem prejuízo das considerações que passo a fazer. Esclareço que minha discordância se limita à declaração de inidoneidade dos sócios das pessoas jurídicas, assunto sobre o qual começo a discorrer na sequência.</w:t>
      </w:r>
    </w:p>
    <w:p w:rsidR="003C18F5" w:rsidRPr="003C18F5" w:rsidRDefault="003C18F5" w:rsidP="00627771">
      <w:pPr>
        <w:spacing w:after="0" w:line="240" w:lineRule="auto"/>
        <w:jc w:val="both"/>
        <w:rPr>
          <w:rFonts w:ascii="Arial" w:eastAsia="Times New Roman" w:hAnsi="Arial" w:cs="Arial"/>
          <w:sz w:val="24"/>
          <w:szCs w:val="24"/>
          <w:lang w:eastAsia="pt-BR"/>
        </w:rPr>
      </w:pPr>
      <w:r w:rsidRPr="003C18F5">
        <w:rPr>
          <w:rFonts w:ascii="Arial" w:eastAsiaTheme="minorEastAsia" w:hAnsi="Arial" w:cs="Arial"/>
          <w:color w:val="000000" w:themeColor="text1"/>
          <w:kern w:val="24"/>
          <w:sz w:val="24"/>
          <w:szCs w:val="24"/>
          <w:lang w:eastAsia="pt-BR"/>
        </w:rPr>
        <w:t xml:space="preserve">11. Apesar de louvável a posição da </w:t>
      </w:r>
      <w:proofErr w:type="spellStart"/>
      <w:r w:rsidRPr="003C18F5">
        <w:rPr>
          <w:rFonts w:ascii="Arial" w:eastAsiaTheme="minorEastAsia" w:hAnsi="Arial" w:cs="Arial"/>
          <w:color w:val="000000" w:themeColor="text1"/>
          <w:kern w:val="24"/>
          <w:sz w:val="24"/>
          <w:szCs w:val="24"/>
          <w:lang w:eastAsia="pt-BR"/>
        </w:rPr>
        <w:t>Selog</w:t>
      </w:r>
      <w:proofErr w:type="spellEnd"/>
      <w:r w:rsidRPr="003C18F5">
        <w:rPr>
          <w:rFonts w:ascii="Arial" w:eastAsiaTheme="minorEastAsia" w:hAnsi="Arial" w:cs="Arial"/>
          <w:color w:val="000000" w:themeColor="text1"/>
          <w:kern w:val="24"/>
          <w:sz w:val="24"/>
          <w:szCs w:val="24"/>
          <w:lang w:eastAsia="pt-BR"/>
        </w:rPr>
        <w:t xml:space="preserve">, que busca impedir a formação de novas empresas pelos mesmos sócios para atuar em segmentos econômicos semelhantes ou idênticos, em clara burla à sanção de inidoneidade, </w:t>
      </w:r>
      <w:r w:rsidRPr="003C18F5">
        <w:rPr>
          <w:rFonts w:ascii="Arial" w:eastAsiaTheme="minorEastAsia" w:hAnsi="Arial" w:cs="Arial"/>
          <w:b/>
          <w:bCs/>
          <w:color w:val="000000" w:themeColor="text1"/>
          <w:kern w:val="24"/>
          <w:sz w:val="24"/>
          <w:szCs w:val="24"/>
          <w:lang w:eastAsia="pt-BR"/>
        </w:rPr>
        <w:t>anoto que a matéria já foi discutida pelo Plenário deste Tribunal em outras três oportunidades</w:t>
      </w:r>
      <w:r w:rsidRPr="003C18F5">
        <w:rPr>
          <w:rFonts w:ascii="Arial" w:eastAsiaTheme="minorEastAsia" w:hAnsi="Arial" w:cs="Arial"/>
          <w:color w:val="000000" w:themeColor="text1"/>
          <w:kern w:val="24"/>
          <w:sz w:val="24"/>
          <w:szCs w:val="24"/>
          <w:lang w:eastAsia="pt-BR"/>
        </w:rPr>
        <w:t xml:space="preserve"> (Acórdãos 2.914/2019, 1.592/2019 e 495/2013) . Nesses julgados, </w:t>
      </w:r>
      <w:r w:rsidRPr="003C18F5">
        <w:rPr>
          <w:rFonts w:ascii="Arial" w:eastAsiaTheme="minorEastAsia" w:hAnsi="Arial" w:cs="Arial"/>
          <w:b/>
          <w:bCs/>
          <w:color w:val="000000" w:themeColor="text1"/>
          <w:kern w:val="24"/>
          <w:sz w:val="24"/>
          <w:szCs w:val="24"/>
          <w:lang w:eastAsia="pt-BR"/>
        </w:rPr>
        <w:t>restou assentado que a declaração de inidoneidade para participar de licitação na administração pública federal (art. 46 da Lei 8.443/1992) não pode ser aplicada a sócios e administradores de empresas licitantes, por falta de previsão legal</w:t>
      </w:r>
      <w:r w:rsidRPr="003C18F5">
        <w:rPr>
          <w:rFonts w:ascii="Arial" w:eastAsiaTheme="minorEastAsia" w:hAnsi="Arial" w:cs="Arial"/>
          <w:color w:val="000000" w:themeColor="text1"/>
          <w:kern w:val="24"/>
          <w:sz w:val="24"/>
          <w:szCs w:val="24"/>
          <w:lang w:eastAsia="pt-BR"/>
        </w:rPr>
        <w:t>.</w:t>
      </w:r>
    </w:p>
    <w:p w:rsidR="003C18F5" w:rsidRPr="003C18F5" w:rsidRDefault="003C18F5" w:rsidP="00627771">
      <w:pPr>
        <w:spacing w:after="0" w:line="240" w:lineRule="auto"/>
        <w:jc w:val="both"/>
        <w:rPr>
          <w:rFonts w:ascii="Arial" w:eastAsia="Times New Roman" w:hAnsi="Arial" w:cs="Arial"/>
          <w:sz w:val="24"/>
          <w:szCs w:val="24"/>
          <w:lang w:eastAsia="pt-BR"/>
        </w:rPr>
      </w:pPr>
      <w:r w:rsidRPr="003C18F5">
        <w:rPr>
          <w:rFonts w:ascii="Arial" w:eastAsiaTheme="minorEastAsia" w:hAnsi="Arial" w:cs="Arial"/>
          <w:color w:val="000000" w:themeColor="text1"/>
          <w:kern w:val="24"/>
          <w:sz w:val="24"/>
          <w:szCs w:val="24"/>
          <w:lang w:eastAsia="pt-BR"/>
        </w:rPr>
        <w:t xml:space="preserve">12. </w:t>
      </w:r>
      <w:r w:rsidRPr="003C18F5">
        <w:rPr>
          <w:rFonts w:ascii="Arial" w:eastAsiaTheme="minorEastAsia" w:hAnsi="Arial" w:cs="Arial"/>
          <w:b/>
          <w:bCs/>
          <w:color w:val="000000" w:themeColor="text1"/>
          <w:kern w:val="24"/>
          <w:sz w:val="24"/>
          <w:szCs w:val="24"/>
          <w:lang w:eastAsia="pt-BR"/>
        </w:rPr>
        <w:t xml:space="preserve">No entanto, </w:t>
      </w:r>
      <w:r w:rsidRPr="003C18F5">
        <w:rPr>
          <w:rFonts w:ascii="Arial" w:eastAsiaTheme="minorEastAsia" w:hAnsi="Arial" w:cs="Arial"/>
          <w:color w:val="000000" w:themeColor="text1"/>
          <w:kern w:val="24"/>
          <w:sz w:val="24"/>
          <w:szCs w:val="24"/>
          <w:lang w:eastAsia="pt-BR"/>
        </w:rPr>
        <w:t xml:space="preserve">foi entendido que, </w:t>
      </w:r>
      <w:r w:rsidRPr="003C18F5">
        <w:rPr>
          <w:rFonts w:ascii="Arial" w:eastAsiaTheme="minorEastAsia" w:hAnsi="Arial" w:cs="Arial"/>
          <w:b/>
          <w:bCs/>
          <w:color w:val="000000" w:themeColor="text1"/>
          <w:kern w:val="24"/>
          <w:sz w:val="24"/>
          <w:szCs w:val="24"/>
          <w:lang w:eastAsia="pt-BR"/>
        </w:rPr>
        <w:t xml:space="preserve">caso nova sociedade empresária seja constituída, com o mesmo objeto, por qualquer um dos sócios ou </w:t>
      </w:r>
      <w:r w:rsidRPr="003C18F5">
        <w:rPr>
          <w:rFonts w:ascii="Arial" w:eastAsiaTheme="minorEastAsia" w:hAnsi="Arial" w:cs="Arial"/>
          <w:b/>
          <w:bCs/>
          <w:color w:val="000000" w:themeColor="text1"/>
          <w:kern w:val="24"/>
          <w:sz w:val="24"/>
          <w:szCs w:val="24"/>
          <w:lang w:eastAsia="pt-BR"/>
        </w:rPr>
        <w:lastRenderedPageBreak/>
        <w:t>administradores de empresas declaradas inidôneas</w:t>
      </w:r>
      <w:r w:rsidRPr="003C18F5">
        <w:rPr>
          <w:rFonts w:ascii="Arial" w:eastAsiaTheme="minorEastAsia" w:hAnsi="Arial" w:cs="Arial"/>
          <w:color w:val="000000" w:themeColor="text1"/>
          <w:kern w:val="24"/>
          <w:sz w:val="24"/>
          <w:szCs w:val="24"/>
          <w:lang w:eastAsia="pt-BR"/>
        </w:rPr>
        <w:t xml:space="preserve">, após a aplicação da sanção e no prazo de sua vigência, a administração </w:t>
      </w:r>
      <w:r w:rsidRPr="003C18F5">
        <w:rPr>
          <w:rFonts w:ascii="Arial" w:eastAsiaTheme="minorEastAsia" w:hAnsi="Arial" w:cs="Arial"/>
          <w:b/>
          <w:bCs/>
          <w:color w:val="000000" w:themeColor="text1"/>
          <w:kern w:val="24"/>
          <w:sz w:val="24"/>
          <w:szCs w:val="24"/>
          <w:lang w:eastAsia="pt-BR"/>
        </w:rPr>
        <w:t xml:space="preserve">deve adotar as providências necessárias </w:t>
      </w:r>
      <w:r w:rsidRPr="003C18F5">
        <w:rPr>
          <w:rFonts w:ascii="Arial" w:eastAsiaTheme="minorEastAsia" w:hAnsi="Arial" w:cs="Arial"/>
          <w:color w:val="000000" w:themeColor="text1"/>
          <w:kern w:val="24"/>
          <w:sz w:val="24"/>
          <w:szCs w:val="24"/>
          <w:lang w:eastAsia="pt-BR"/>
        </w:rPr>
        <w:t xml:space="preserve">à inibição de participação dessa empresa em licitações, </w:t>
      </w:r>
      <w:r w:rsidRPr="003C18F5">
        <w:rPr>
          <w:rFonts w:ascii="Arial" w:eastAsiaTheme="minorEastAsia" w:hAnsi="Arial" w:cs="Arial"/>
          <w:b/>
          <w:bCs/>
          <w:color w:val="000000" w:themeColor="text1"/>
          <w:kern w:val="24"/>
          <w:sz w:val="24"/>
          <w:szCs w:val="24"/>
          <w:lang w:eastAsia="pt-BR"/>
        </w:rPr>
        <w:t>em processo administrativo específico, assegurando o contraditório e a ampla defesa a todos os interessados</w:t>
      </w:r>
      <w:r w:rsidRPr="003C18F5">
        <w:rPr>
          <w:rFonts w:ascii="Arial" w:eastAsiaTheme="minorEastAsia" w:hAnsi="Arial" w:cs="Arial"/>
          <w:color w:val="000000" w:themeColor="text1"/>
          <w:kern w:val="24"/>
          <w:sz w:val="24"/>
          <w:szCs w:val="24"/>
          <w:lang w:eastAsia="pt-BR"/>
        </w:rPr>
        <w:t>.</w:t>
      </w:r>
    </w:p>
    <w:p w:rsidR="003C18F5" w:rsidRPr="003C18F5" w:rsidRDefault="003C18F5" w:rsidP="00627771">
      <w:pPr>
        <w:spacing w:after="0" w:line="240" w:lineRule="auto"/>
        <w:jc w:val="both"/>
        <w:rPr>
          <w:rFonts w:ascii="Arial" w:eastAsia="Times New Roman" w:hAnsi="Arial" w:cs="Arial"/>
          <w:sz w:val="24"/>
          <w:szCs w:val="24"/>
          <w:lang w:eastAsia="pt-BR"/>
        </w:rPr>
      </w:pPr>
      <w:r w:rsidRPr="003C18F5">
        <w:rPr>
          <w:rFonts w:ascii="Arial" w:eastAsiaTheme="minorEastAsia" w:hAnsi="Arial" w:cs="Arial"/>
          <w:color w:val="000000" w:themeColor="text1"/>
          <w:kern w:val="24"/>
          <w:sz w:val="24"/>
          <w:szCs w:val="24"/>
          <w:lang w:eastAsia="pt-BR"/>
        </w:rPr>
        <w:t>13. O voto condutor do já mencionado </w:t>
      </w:r>
      <w:hyperlink r:id="rId6" w:history="1">
        <w:r w:rsidRPr="00627771">
          <w:rPr>
            <w:rFonts w:ascii="Arial" w:eastAsiaTheme="minorEastAsia" w:hAnsi="Arial" w:cs="Arial"/>
            <w:color w:val="000000" w:themeColor="text1"/>
            <w:kern w:val="24"/>
            <w:sz w:val="24"/>
            <w:szCs w:val="24"/>
            <w:u w:val="single"/>
            <w:lang w:eastAsia="pt-BR"/>
          </w:rPr>
          <w:t>Acórdão 495/2013-TCU-Plenário</w:t>
        </w:r>
      </w:hyperlink>
      <w:r w:rsidRPr="003C18F5">
        <w:rPr>
          <w:rFonts w:ascii="Arial" w:eastAsiaTheme="minorEastAsia" w:hAnsi="Arial" w:cs="Arial"/>
          <w:color w:val="000000" w:themeColor="text1"/>
          <w:kern w:val="24"/>
          <w:sz w:val="24"/>
          <w:szCs w:val="24"/>
          <w:lang w:eastAsia="pt-BR"/>
        </w:rPr>
        <w:t> deixou consignado o seguinte registro: (...)”</w:t>
      </w:r>
    </w:p>
    <w:p w:rsidR="003C18F5" w:rsidRPr="00627771" w:rsidRDefault="003C18F5" w:rsidP="00627771">
      <w:pPr>
        <w:spacing w:after="0" w:line="240" w:lineRule="auto"/>
        <w:jc w:val="both"/>
        <w:rPr>
          <w:rFonts w:ascii="Arial" w:eastAsia="Times New Roman" w:hAnsi="Arial" w:cs="Arial"/>
          <w:sz w:val="24"/>
          <w:szCs w:val="24"/>
          <w:lang w:eastAsia="pt-BR"/>
        </w:rPr>
      </w:pPr>
    </w:p>
    <w:p w:rsidR="003C18F5" w:rsidRPr="003C18F5" w:rsidRDefault="003C18F5" w:rsidP="00627771">
      <w:pPr>
        <w:spacing w:after="0" w:line="240" w:lineRule="auto"/>
        <w:jc w:val="both"/>
        <w:rPr>
          <w:rFonts w:ascii="Arial" w:eastAsia="Times New Roman" w:hAnsi="Arial" w:cs="Arial"/>
          <w:sz w:val="24"/>
          <w:szCs w:val="24"/>
          <w:lang w:eastAsia="pt-BR"/>
        </w:rPr>
      </w:pPr>
      <w:r w:rsidRPr="003C18F5">
        <w:rPr>
          <w:rFonts w:ascii="Arial" w:eastAsiaTheme="minorEastAsia" w:hAnsi="Arial" w:cs="Arial"/>
          <w:color w:val="000000" w:themeColor="text1"/>
          <w:kern w:val="24"/>
          <w:sz w:val="24"/>
          <w:szCs w:val="24"/>
          <w:lang w:eastAsia="pt-BR"/>
        </w:rPr>
        <w:t xml:space="preserve">18. Nessa análise, </w:t>
      </w:r>
      <w:r w:rsidRPr="003C18F5">
        <w:rPr>
          <w:rFonts w:ascii="Arial" w:eastAsiaTheme="minorEastAsia" w:hAnsi="Arial" w:cs="Arial"/>
          <w:b/>
          <w:bCs/>
          <w:color w:val="000000" w:themeColor="text1"/>
          <w:kern w:val="24"/>
          <w:sz w:val="24"/>
          <w:szCs w:val="24"/>
          <w:lang w:eastAsia="pt-BR"/>
        </w:rPr>
        <w:t>diversos fatores devem ser investigados</w:t>
      </w:r>
      <w:r w:rsidRPr="003C18F5">
        <w:rPr>
          <w:rFonts w:ascii="Arial" w:eastAsiaTheme="minorEastAsia" w:hAnsi="Arial" w:cs="Arial"/>
          <w:color w:val="000000" w:themeColor="text1"/>
          <w:kern w:val="24"/>
          <w:sz w:val="24"/>
          <w:szCs w:val="24"/>
          <w:lang w:eastAsia="pt-BR"/>
        </w:rPr>
        <w:t xml:space="preserve">. </w:t>
      </w:r>
      <w:r w:rsidRPr="003C18F5">
        <w:rPr>
          <w:rFonts w:ascii="Arial" w:eastAsiaTheme="minorEastAsia" w:hAnsi="Arial" w:cs="Arial"/>
          <w:b/>
          <w:bCs/>
          <w:color w:val="000000" w:themeColor="text1"/>
          <w:kern w:val="24"/>
          <w:sz w:val="24"/>
          <w:szCs w:val="24"/>
          <w:lang w:eastAsia="pt-BR"/>
        </w:rPr>
        <w:t>A título exemplificativo</w:t>
      </w:r>
      <w:r w:rsidRPr="003C18F5">
        <w:rPr>
          <w:rFonts w:ascii="Arial" w:eastAsiaTheme="minorEastAsia" w:hAnsi="Arial" w:cs="Arial"/>
          <w:color w:val="000000" w:themeColor="text1"/>
          <w:kern w:val="24"/>
          <w:sz w:val="24"/>
          <w:szCs w:val="24"/>
          <w:lang w:eastAsia="pt-BR"/>
        </w:rPr>
        <w:t>, deve-se apurar as condições de constituição da pessoa jurídica ou do início da sua relação com os sócios da empresa sancionada; a atividade econômica desenvolvida pelas empresas; a composição do quadro societário e a identidade dos dirigentes/administradores; compartilhamento de estrutura física ou de pessoal etc.</w:t>
      </w:r>
    </w:p>
    <w:p w:rsidR="003C18F5" w:rsidRPr="003C18F5" w:rsidRDefault="003C18F5" w:rsidP="00627771">
      <w:pPr>
        <w:spacing w:after="0" w:line="240" w:lineRule="auto"/>
        <w:jc w:val="both"/>
        <w:rPr>
          <w:rFonts w:ascii="Arial" w:eastAsia="Times New Roman" w:hAnsi="Arial" w:cs="Arial"/>
          <w:sz w:val="24"/>
          <w:szCs w:val="24"/>
          <w:lang w:eastAsia="pt-BR"/>
        </w:rPr>
      </w:pPr>
      <w:r w:rsidRPr="003C18F5">
        <w:rPr>
          <w:rFonts w:ascii="Arial" w:eastAsiaTheme="minorEastAsia" w:hAnsi="Arial" w:cs="Arial"/>
          <w:color w:val="000000" w:themeColor="text1"/>
          <w:kern w:val="24"/>
          <w:sz w:val="24"/>
          <w:szCs w:val="24"/>
          <w:lang w:eastAsia="pt-BR"/>
        </w:rPr>
        <w:t xml:space="preserve">19. </w:t>
      </w:r>
      <w:r w:rsidRPr="003C18F5">
        <w:rPr>
          <w:rFonts w:ascii="Arial" w:eastAsiaTheme="minorEastAsia" w:hAnsi="Arial" w:cs="Arial"/>
          <w:b/>
          <w:bCs/>
          <w:color w:val="000000" w:themeColor="text1"/>
          <w:kern w:val="24"/>
          <w:sz w:val="24"/>
          <w:szCs w:val="24"/>
          <w:lang w:eastAsia="pt-BR"/>
        </w:rPr>
        <w:t>Se, ao término das mencionadas diligências, forem apurados indícios de fraude à sanção anteriormente aplicada, então será necessária a instauração do processo administrativo específico</w:t>
      </w:r>
      <w:r w:rsidRPr="003C18F5">
        <w:rPr>
          <w:rFonts w:ascii="Arial" w:eastAsiaTheme="minorEastAsia" w:hAnsi="Arial" w:cs="Arial"/>
          <w:color w:val="000000" w:themeColor="text1"/>
          <w:kern w:val="24"/>
          <w:sz w:val="24"/>
          <w:szCs w:val="24"/>
          <w:lang w:eastAsia="pt-BR"/>
        </w:rPr>
        <w:t xml:space="preserve">, tendente a apurar em detalhes a conduta, bem como </w:t>
      </w:r>
      <w:r w:rsidRPr="003C18F5">
        <w:rPr>
          <w:rFonts w:ascii="Arial" w:eastAsiaTheme="minorEastAsia" w:hAnsi="Arial" w:cs="Arial"/>
          <w:b/>
          <w:bCs/>
          <w:color w:val="000000" w:themeColor="text1"/>
          <w:kern w:val="24"/>
          <w:sz w:val="24"/>
          <w:szCs w:val="24"/>
          <w:lang w:eastAsia="pt-BR"/>
        </w:rPr>
        <w:t>viabilizar o contraditório e a ampla defesa prévios</w:t>
      </w:r>
      <w:r w:rsidRPr="003C18F5">
        <w:rPr>
          <w:rFonts w:ascii="Arial" w:eastAsiaTheme="minorEastAsia" w:hAnsi="Arial" w:cs="Arial"/>
          <w:color w:val="000000" w:themeColor="text1"/>
          <w:kern w:val="24"/>
          <w:sz w:val="24"/>
          <w:szCs w:val="24"/>
          <w:lang w:eastAsia="pt-BR"/>
        </w:rPr>
        <w:t>.</w:t>
      </w:r>
    </w:p>
    <w:p w:rsidR="003C18F5" w:rsidRPr="003C18F5" w:rsidRDefault="003C18F5" w:rsidP="00627771">
      <w:pPr>
        <w:spacing w:after="0" w:line="240" w:lineRule="auto"/>
        <w:jc w:val="both"/>
        <w:rPr>
          <w:rFonts w:ascii="Arial" w:eastAsia="Times New Roman" w:hAnsi="Arial" w:cs="Arial"/>
          <w:sz w:val="24"/>
          <w:szCs w:val="24"/>
          <w:lang w:eastAsia="pt-BR"/>
        </w:rPr>
      </w:pPr>
      <w:r w:rsidRPr="003C18F5">
        <w:rPr>
          <w:rFonts w:ascii="Arial" w:eastAsiaTheme="minorEastAsia" w:hAnsi="Arial" w:cs="Arial"/>
          <w:color w:val="000000" w:themeColor="text1"/>
          <w:kern w:val="24"/>
          <w:sz w:val="24"/>
          <w:szCs w:val="24"/>
          <w:lang w:eastAsia="pt-BR"/>
        </w:rPr>
        <w:t xml:space="preserve">20. Portanto, </w:t>
      </w:r>
      <w:r w:rsidRPr="003C18F5">
        <w:rPr>
          <w:rFonts w:ascii="Arial" w:eastAsiaTheme="minorEastAsia" w:hAnsi="Arial" w:cs="Arial"/>
          <w:b/>
          <w:bCs/>
          <w:color w:val="000000" w:themeColor="text1"/>
          <w:kern w:val="24"/>
          <w:sz w:val="24"/>
          <w:szCs w:val="24"/>
          <w:lang w:eastAsia="pt-BR"/>
        </w:rPr>
        <w:t xml:space="preserve">creio que a louvável preocupação da unidade técnica já se encontra abarcada pela funcionalidade de ocorrências impeditivas indiretas do </w:t>
      </w:r>
      <w:proofErr w:type="spellStart"/>
      <w:r w:rsidRPr="003C18F5">
        <w:rPr>
          <w:rFonts w:ascii="Arial" w:eastAsiaTheme="minorEastAsia" w:hAnsi="Arial" w:cs="Arial"/>
          <w:b/>
          <w:bCs/>
          <w:color w:val="000000" w:themeColor="text1"/>
          <w:kern w:val="24"/>
          <w:sz w:val="24"/>
          <w:szCs w:val="24"/>
          <w:lang w:eastAsia="pt-BR"/>
        </w:rPr>
        <w:t>Sicaf</w:t>
      </w:r>
      <w:proofErr w:type="spellEnd"/>
      <w:r w:rsidRPr="003C18F5">
        <w:rPr>
          <w:rFonts w:ascii="Arial" w:eastAsiaTheme="minorEastAsia" w:hAnsi="Arial" w:cs="Arial"/>
          <w:color w:val="000000" w:themeColor="text1"/>
          <w:kern w:val="24"/>
          <w:sz w:val="24"/>
          <w:szCs w:val="24"/>
          <w:lang w:eastAsia="pt-BR"/>
        </w:rPr>
        <w:t>. Friso ainda que as unidades técnicas e as equipes de auditoria desta Corte de Contas também poderão representar sempre que constatarem algum tipo de burla à sanção de declaração de inidoneidade por meio da constituição de nova pessoa jurídica.</w:t>
      </w:r>
    </w:p>
    <w:p w:rsidR="003C18F5" w:rsidRPr="003C18F5" w:rsidRDefault="003C18F5" w:rsidP="00627771">
      <w:pPr>
        <w:spacing w:after="0" w:line="240" w:lineRule="auto"/>
        <w:jc w:val="both"/>
        <w:rPr>
          <w:rFonts w:ascii="Arial" w:eastAsia="Times New Roman" w:hAnsi="Arial" w:cs="Arial"/>
          <w:sz w:val="24"/>
          <w:szCs w:val="24"/>
          <w:lang w:eastAsia="pt-BR"/>
        </w:rPr>
      </w:pPr>
      <w:r w:rsidRPr="003C18F5">
        <w:rPr>
          <w:rFonts w:ascii="Arial" w:eastAsiaTheme="minorEastAsia" w:hAnsi="Arial" w:cs="Arial"/>
          <w:color w:val="000000" w:themeColor="text1"/>
          <w:kern w:val="24"/>
          <w:sz w:val="24"/>
          <w:szCs w:val="24"/>
          <w:lang w:eastAsia="pt-BR"/>
        </w:rPr>
        <w:t xml:space="preserve">21. Desse modo, </w:t>
      </w:r>
      <w:r w:rsidRPr="003C18F5">
        <w:rPr>
          <w:rFonts w:ascii="Arial" w:eastAsiaTheme="minorEastAsia" w:hAnsi="Arial" w:cs="Arial"/>
          <w:b/>
          <w:bCs/>
          <w:color w:val="000000" w:themeColor="text1"/>
          <w:kern w:val="24"/>
          <w:sz w:val="24"/>
          <w:szCs w:val="24"/>
          <w:lang w:eastAsia="pt-BR"/>
        </w:rPr>
        <w:t xml:space="preserve">afasto a aplicação da pena de inidoneidade aos srs. Juliano </w:t>
      </w:r>
      <w:proofErr w:type="spellStart"/>
      <w:r w:rsidRPr="003C18F5">
        <w:rPr>
          <w:rFonts w:ascii="Arial" w:eastAsiaTheme="minorEastAsia" w:hAnsi="Arial" w:cs="Arial"/>
          <w:b/>
          <w:bCs/>
          <w:color w:val="000000" w:themeColor="text1"/>
          <w:kern w:val="24"/>
          <w:sz w:val="24"/>
          <w:szCs w:val="24"/>
          <w:lang w:eastAsia="pt-BR"/>
        </w:rPr>
        <w:t>Zanesco</w:t>
      </w:r>
      <w:proofErr w:type="spellEnd"/>
      <w:r w:rsidRPr="003C18F5">
        <w:rPr>
          <w:rFonts w:ascii="Arial" w:eastAsiaTheme="minorEastAsia" w:hAnsi="Arial" w:cs="Arial"/>
          <w:b/>
          <w:bCs/>
          <w:color w:val="000000" w:themeColor="text1"/>
          <w:kern w:val="24"/>
          <w:sz w:val="24"/>
          <w:szCs w:val="24"/>
          <w:lang w:eastAsia="pt-BR"/>
        </w:rPr>
        <w:t xml:space="preserve">, Carlos César </w:t>
      </w:r>
      <w:proofErr w:type="spellStart"/>
      <w:r w:rsidRPr="003C18F5">
        <w:rPr>
          <w:rFonts w:ascii="Arial" w:eastAsiaTheme="minorEastAsia" w:hAnsi="Arial" w:cs="Arial"/>
          <w:b/>
          <w:bCs/>
          <w:color w:val="000000" w:themeColor="text1"/>
          <w:kern w:val="24"/>
          <w:sz w:val="24"/>
          <w:szCs w:val="24"/>
          <w:lang w:eastAsia="pt-BR"/>
        </w:rPr>
        <w:t>Geimbra</w:t>
      </w:r>
      <w:proofErr w:type="spellEnd"/>
      <w:r w:rsidRPr="003C18F5">
        <w:rPr>
          <w:rFonts w:ascii="Arial" w:eastAsiaTheme="minorEastAsia" w:hAnsi="Arial" w:cs="Arial"/>
          <w:b/>
          <w:bCs/>
          <w:color w:val="000000" w:themeColor="text1"/>
          <w:kern w:val="24"/>
          <w:sz w:val="24"/>
          <w:szCs w:val="24"/>
          <w:lang w:eastAsia="pt-BR"/>
        </w:rPr>
        <w:t xml:space="preserve">, </w:t>
      </w:r>
      <w:proofErr w:type="spellStart"/>
      <w:r w:rsidRPr="003C18F5">
        <w:rPr>
          <w:rFonts w:ascii="Arial" w:eastAsiaTheme="minorEastAsia" w:hAnsi="Arial" w:cs="Arial"/>
          <w:b/>
          <w:bCs/>
          <w:color w:val="000000" w:themeColor="text1"/>
          <w:kern w:val="24"/>
          <w:sz w:val="24"/>
          <w:szCs w:val="24"/>
          <w:lang w:eastAsia="pt-BR"/>
        </w:rPr>
        <w:t>Lênio</w:t>
      </w:r>
      <w:proofErr w:type="spellEnd"/>
      <w:r w:rsidRPr="003C18F5">
        <w:rPr>
          <w:rFonts w:ascii="Arial" w:eastAsiaTheme="minorEastAsia" w:hAnsi="Arial" w:cs="Arial"/>
          <w:b/>
          <w:bCs/>
          <w:color w:val="000000" w:themeColor="text1"/>
          <w:kern w:val="24"/>
          <w:sz w:val="24"/>
          <w:szCs w:val="24"/>
          <w:lang w:eastAsia="pt-BR"/>
        </w:rPr>
        <w:t xml:space="preserve"> </w:t>
      </w:r>
      <w:proofErr w:type="spellStart"/>
      <w:r w:rsidRPr="003C18F5">
        <w:rPr>
          <w:rFonts w:ascii="Arial" w:eastAsiaTheme="minorEastAsia" w:hAnsi="Arial" w:cs="Arial"/>
          <w:b/>
          <w:bCs/>
          <w:color w:val="000000" w:themeColor="text1"/>
          <w:kern w:val="24"/>
          <w:sz w:val="24"/>
          <w:szCs w:val="24"/>
          <w:lang w:eastAsia="pt-BR"/>
        </w:rPr>
        <w:t>Zanesco</w:t>
      </w:r>
      <w:proofErr w:type="spellEnd"/>
      <w:r w:rsidRPr="003C18F5">
        <w:rPr>
          <w:rFonts w:ascii="Arial" w:eastAsiaTheme="minorEastAsia" w:hAnsi="Arial" w:cs="Arial"/>
          <w:b/>
          <w:bCs/>
          <w:color w:val="000000" w:themeColor="text1"/>
          <w:kern w:val="24"/>
          <w:sz w:val="24"/>
          <w:szCs w:val="24"/>
          <w:lang w:eastAsia="pt-BR"/>
        </w:rPr>
        <w:t xml:space="preserve"> e Jordano </w:t>
      </w:r>
      <w:proofErr w:type="spellStart"/>
      <w:r w:rsidRPr="003C18F5">
        <w:rPr>
          <w:rFonts w:ascii="Arial" w:eastAsiaTheme="minorEastAsia" w:hAnsi="Arial" w:cs="Arial"/>
          <w:b/>
          <w:bCs/>
          <w:color w:val="000000" w:themeColor="text1"/>
          <w:kern w:val="24"/>
          <w:sz w:val="24"/>
          <w:szCs w:val="24"/>
          <w:lang w:eastAsia="pt-BR"/>
        </w:rPr>
        <w:t>Zanesco</w:t>
      </w:r>
      <w:proofErr w:type="spellEnd"/>
      <w:r w:rsidRPr="003C18F5">
        <w:rPr>
          <w:rFonts w:ascii="Arial" w:eastAsiaTheme="minorEastAsia" w:hAnsi="Arial" w:cs="Arial"/>
          <w:color w:val="000000" w:themeColor="text1"/>
          <w:kern w:val="24"/>
          <w:sz w:val="24"/>
          <w:szCs w:val="24"/>
          <w:lang w:eastAsia="pt-BR"/>
        </w:rPr>
        <w:t>. Por consequência, considero prejudicada a tese defensiva da ilegitimidade passiva do sr. Jordano.</w:t>
      </w:r>
    </w:p>
    <w:p w:rsidR="003C18F5" w:rsidRPr="003C18F5" w:rsidRDefault="003C18F5" w:rsidP="00627771">
      <w:pPr>
        <w:spacing w:after="0" w:line="240" w:lineRule="auto"/>
        <w:jc w:val="both"/>
        <w:rPr>
          <w:rFonts w:ascii="Arial" w:eastAsia="Times New Roman" w:hAnsi="Arial" w:cs="Arial"/>
          <w:sz w:val="24"/>
          <w:szCs w:val="24"/>
          <w:lang w:eastAsia="pt-BR"/>
        </w:rPr>
      </w:pPr>
      <w:r w:rsidRPr="003C18F5">
        <w:rPr>
          <w:rFonts w:ascii="Arial" w:eastAsiaTheme="minorEastAsia" w:hAnsi="Arial" w:cs="Arial"/>
          <w:color w:val="000000" w:themeColor="text1"/>
          <w:kern w:val="24"/>
          <w:sz w:val="24"/>
          <w:szCs w:val="24"/>
          <w:lang w:eastAsia="pt-BR"/>
        </w:rPr>
        <w:t xml:space="preserve">22. Apesar de afastar a pena de inidoneidade para os sócios das empresas arroladas, </w:t>
      </w:r>
      <w:r w:rsidRPr="003C18F5">
        <w:rPr>
          <w:rFonts w:ascii="Arial" w:eastAsiaTheme="minorEastAsia" w:hAnsi="Arial" w:cs="Arial"/>
          <w:b/>
          <w:bCs/>
          <w:color w:val="000000" w:themeColor="text1"/>
          <w:kern w:val="24"/>
          <w:sz w:val="24"/>
          <w:szCs w:val="24"/>
          <w:lang w:eastAsia="pt-BR"/>
        </w:rPr>
        <w:t>devo ressaltar as novidades legislativas incorporadas nas Leis 13.303/2016 e 14.133/2021</w:t>
      </w:r>
      <w:r w:rsidRPr="003C18F5">
        <w:rPr>
          <w:rFonts w:ascii="Arial" w:eastAsiaTheme="minorEastAsia" w:hAnsi="Arial" w:cs="Arial"/>
          <w:color w:val="000000" w:themeColor="text1"/>
          <w:kern w:val="24"/>
          <w:sz w:val="24"/>
          <w:szCs w:val="24"/>
          <w:lang w:eastAsia="pt-BR"/>
        </w:rPr>
        <w:t xml:space="preserve">, que permitem, a partir de fatos praticados após a vigência dessas normas - ou seja, não incide no caso concreto -, a extensão dos efeitos da inidoneidade para terceiros. O estatuto jurídico das empresas públicas e das sociedades de economia mista veda a participação em licitação e a contratação de empresas cujos sócios ou administradores integrem o quadro societário de outra declarada inidônea (art. 38) . </w:t>
      </w:r>
      <w:r w:rsidRPr="003C18F5">
        <w:rPr>
          <w:rFonts w:ascii="Arial" w:eastAsiaTheme="minorEastAsia" w:hAnsi="Arial" w:cs="Arial"/>
          <w:b/>
          <w:bCs/>
          <w:color w:val="000000" w:themeColor="text1"/>
          <w:kern w:val="24"/>
          <w:sz w:val="24"/>
          <w:szCs w:val="24"/>
          <w:lang w:eastAsia="pt-BR"/>
        </w:rPr>
        <w:t>A nova lei de licitações, por sua vez, prevê uma hipótese de desconsideração em que os efeitos das sanções aplicadas à pessoa jurídica podem ser estendidos aos administradores e sócios com poderes de administração (art. 160)</w:t>
      </w:r>
      <w:r w:rsidRPr="003C18F5">
        <w:rPr>
          <w:rFonts w:ascii="Arial" w:eastAsiaTheme="minorEastAsia" w:hAnsi="Arial" w:cs="Arial"/>
          <w:color w:val="000000" w:themeColor="text1"/>
          <w:kern w:val="24"/>
          <w:sz w:val="24"/>
          <w:szCs w:val="24"/>
          <w:lang w:eastAsia="pt-BR"/>
        </w:rPr>
        <w:t>.</w:t>
      </w:r>
    </w:p>
    <w:p w:rsidR="003C18F5" w:rsidRPr="00627771" w:rsidRDefault="003C18F5" w:rsidP="00627771">
      <w:pPr>
        <w:spacing w:after="0" w:line="240" w:lineRule="auto"/>
        <w:jc w:val="both"/>
        <w:rPr>
          <w:rFonts w:ascii="Arial" w:eastAsia="Times New Roman" w:hAnsi="Arial" w:cs="Arial"/>
          <w:sz w:val="24"/>
          <w:szCs w:val="24"/>
          <w:lang w:eastAsia="pt-BR"/>
        </w:rPr>
      </w:pPr>
    </w:p>
    <w:p w:rsidR="003C18F5" w:rsidRPr="003C18F5" w:rsidRDefault="003C18F5" w:rsidP="00627771">
      <w:pPr>
        <w:spacing w:after="0" w:line="240" w:lineRule="auto"/>
        <w:jc w:val="both"/>
        <w:rPr>
          <w:rFonts w:ascii="Arial" w:eastAsia="Times New Roman" w:hAnsi="Arial" w:cs="Arial"/>
          <w:sz w:val="24"/>
          <w:szCs w:val="24"/>
          <w:lang w:eastAsia="pt-BR"/>
        </w:rPr>
      </w:pPr>
    </w:p>
    <w:p w:rsidR="003C18F5" w:rsidRPr="00627771" w:rsidRDefault="003C18F5" w:rsidP="00627771">
      <w:pPr>
        <w:jc w:val="both"/>
        <w:rPr>
          <w:rFonts w:ascii="Arial" w:hAnsi="Arial" w:cs="Arial"/>
          <w:sz w:val="24"/>
          <w:szCs w:val="24"/>
        </w:rPr>
      </w:pPr>
    </w:p>
    <w:p w:rsidR="00627771" w:rsidRPr="00627771" w:rsidRDefault="00627771" w:rsidP="00627771">
      <w:pPr>
        <w:pStyle w:val="NormalWeb"/>
        <w:spacing w:before="0" w:beforeAutospacing="0" w:after="0" w:afterAutospacing="0"/>
        <w:jc w:val="both"/>
        <w:rPr>
          <w:rFonts w:ascii="Arial" w:hAnsi="Arial" w:cs="Arial"/>
        </w:rPr>
      </w:pPr>
      <w:r w:rsidRPr="00627771">
        <w:rPr>
          <w:rFonts w:ascii="Arial" w:eastAsiaTheme="minorEastAsia" w:hAnsi="Arial" w:cs="Arial"/>
          <w:i/>
          <w:iCs/>
          <w:color w:val="000000" w:themeColor="text1"/>
          <w:kern w:val="24"/>
        </w:rPr>
        <w:t>(RMS 15.166/BA, Rel. Ministro CASTRO MEIRA, SEGUNDA TURMA, julgado em 7/8/2003, DJ 8/9/2003, p. 262) .</w:t>
      </w:r>
    </w:p>
    <w:p w:rsidR="003C18F5" w:rsidRPr="00627771" w:rsidRDefault="003C18F5" w:rsidP="00627771">
      <w:pPr>
        <w:pStyle w:val="PargrafodaLista"/>
        <w:numPr>
          <w:ilvl w:val="0"/>
          <w:numId w:val="2"/>
        </w:numPr>
        <w:jc w:val="both"/>
        <w:rPr>
          <w:rFonts w:ascii="Arial" w:hAnsi="Arial" w:cs="Arial"/>
        </w:rPr>
      </w:pPr>
      <w:r w:rsidRPr="00627771">
        <w:rPr>
          <w:rFonts w:ascii="Arial" w:hAnsi="Arial" w:cs="Arial"/>
          <w:color w:val="1A1A1A"/>
          <w:kern w:val="24"/>
        </w:rPr>
        <w:t>STJ - abuso de forma (constituição de uma nova sociedade com o mesmo objeto social, com os mesmos sócios e com o mesmo endereço) e fraude à Lei nº 8.666/1993, pautando-se pela observância dos princípios da moralidade administrativa e da indisponibilidade do interesse público tutelado.</w:t>
      </w:r>
    </w:p>
    <w:p w:rsidR="003C18F5" w:rsidRPr="00627771" w:rsidRDefault="003C18F5" w:rsidP="00627771">
      <w:pPr>
        <w:pStyle w:val="NormalWeb"/>
        <w:spacing w:before="0" w:beforeAutospacing="0" w:after="0" w:afterAutospacing="0"/>
        <w:jc w:val="both"/>
        <w:rPr>
          <w:rFonts w:ascii="Arial" w:hAnsi="Arial" w:cs="Arial"/>
        </w:rPr>
      </w:pPr>
      <w:r w:rsidRPr="00627771">
        <w:rPr>
          <w:rFonts w:ascii="Arial" w:eastAsiaTheme="minorEastAsia" w:hAnsi="Arial" w:cs="Arial"/>
          <w:i/>
          <w:iCs/>
          <w:color w:val="000000" w:themeColor="text1"/>
          <w:kern w:val="24"/>
        </w:rPr>
        <w:lastRenderedPageBreak/>
        <w:t>ADMINISTRATIVO. RECURSO ORDINÁRIO EM MANDADO DE SEGURANÇA. LICITAÇÃO. SANÇÃO DE INIDONEIDADE PARA LICITAR. EXTENSÃO DE EFEITOS À SOCIEDADE COM O MESMO OBJETO SOCIAL, MESMOS SÓCIOS E MESMO ENDEREÇO. FRAUDE À LEI E ABUSO DE FORMA. DESCONSIDERAÇÃO DA PERSONALIDADE JURÍDICA NA ESFERA ADMINISTRATIVA. POSSIBILIDADE. PRINCÍPIO DA MORALIDADE ADMINISTRATIVA E DA INDISPONIBILIDADE DOS INTERESSES PÚBLICOS.</w:t>
      </w:r>
    </w:p>
    <w:p w:rsidR="003C18F5" w:rsidRPr="00627771" w:rsidRDefault="003C18F5" w:rsidP="00627771">
      <w:pPr>
        <w:pStyle w:val="PargrafodaLista"/>
        <w:numPr>
          <w:ilvl w:val="0"/>
          <w:numId w:val="3"/>
        </w:numPr>
        <w:jc w:val="both"/>
        <w:rPr>
          <w:rFonts w:ascii="Arial" w:hAnsi="Arial" w:cs="Arial"/>
        </w:rPr>
      </w:pPr>
      <w:r w:rsidRPr="00627771">
        <w:rPr>
          <w:rFonts w:ascii="Arial" w:eastAsiaTheme="minorEastAsia" w:hAnsi="Arial" w:cs="Arial"/>
          <w:i/>
          <w:iCs/>
          <w:color w:val="000000" w:themeColor="text1"/>
          <w:kern w:val="24"/>
        </w:rPr>
        <w:t xml:space="preserve">A constituição de nova sociedade, com o mesmo objeto social, com os mesmos sócios e com o mesmo endereço, em substituição a outra declarada inidônea para licitar com a Administração Pública Estadual, com o objetivo de burlar à aplicação da sanção administrativa, constitui </w:t>
      </w:r>
      <w:r w:rsidRPr="00627771">
        <w:rPr>
          <w:rFonts w:ascii="Arial" w:eastAsiaTheme="minorEastAsia" w:hAnsi="Arial" w:cs="Arial"/>
          <w:b/>
          <w:bCs/>
          <w:i/>
          <w:iCs/>
          <w:color w:val="000000" w:themeColor="text1"/>
          <w:kern w:val="24"/>
        </w:rPr>
        <w:t>abuso de forma e fraude à Lei de Licitações Lei n.º 8.666/93</w:t>
      </w:r>
      <w:r w:rsidRPr="00627771">
        <w:rPr>
          <w:rFonts w:ascii="Arial" w:eastAsiaTheme="minorEastAsia" w:hAnsi="Arial" w:cs="Arial"/>
          <w:i/>
          <w:iCs/>
          <w:color w:val="000000" w:themeColor="text1"/>
          <w:kern w:val="24"/>
        </w:rPr>
        <w:t>, de modo a possibilitar a aplicação da teoria da desconsideração da personalidade jurídica para estenderem-se os efeitos da sanção administrativa à nova sociedade constituída.</w:t>
      </w:r>
    </w:p>
    <w:p w:rsidR="003C18F5" w:rsidRPr="00627771" w:rsidRDefault="003C18F5" w:rsidP="00627771">
      <w:pPr>
        <w:pStyle w:val="PargrafodaLista"/>
        <w:numPr>
          <w:ilvl w:val="0"/>
          <w:numId w:val="3"/>
        </w:numPr>
        <w:jc w:val="both"/>
        <w:rPr>
          <w:rFonts w:ascii="Arial" w:hAnsi="Arial" w:cs="Arial"/>
        </w:rPr>
      </w:pPr>
      <w:r w:rsidRPr="00627771">
        <w:rPr>
          <w:rFonts w:ascii="Arial" w:eastAsiaTheme="minorEastAsia" w:hAnsi="Arial" w:cs="Arial"/>
          <w:i/>
          <w:iCs/>
          <w:color w:val="000000" w:themeColor="text1"/>
          <w:kern w:val="24"/>
        </w:rPr>
        <w:t xml:space="preserve">A Administração Pública pode, </w:t>
      </w:r>
      <w:r w:rsidRPr="00627771">
        <w:rPr>
          <w:rFonts w:ascii="Arial" w:eastAsiaTheme="minorEastAsia" w:hAnsi="Arial" w:cs="Arial"/>
          <w:b/>
          <w:bCs/>
          <w:i/>
          <w:iCs/>
          <w:color w:val="000000" w:themeColor="text1"/>
          <w:kern w:val="24"/>
        </w:rPr>
        <w:t xml:space="preserve">em observância ao princípio da moralidade administrativa e da indisponibilidade dos interesses públicos tutelados, desconsiderar a personalidade jurídica </w:t>
      </w:r>
      <w:r w:rsidRPr="00627771">
        <w:rPr>
          <w:rFonts w:ascii="Arial" w:eastAsiaTheme="minorEastAsia" w:hAnsi="Arial" w:cs="Arial"/>
          <w:i/>
          <w:iCs/>
          <w:color w:val="000000" w:themeColor="text1"/>
          <w:kern w:val="24"/>
        </w:rPr>
        <w:t>de sociedade constituída com abuso de forma e fraude à lei, desde que facultado ao administrado o contraditório e a ampla defesa em processo administrativo regular.</w:t>
      </w:r>
    </w:p>
    <w:p w:rsidR="003C18F5" w:rsidRPr="00627771" w:rsidRDefault="003C18F5" w:rsidP="00627771">
      <w:pPr>
        <w:pStyle w:val="PargrafodaLista"/>
        <w:numPr>
          <w:ilvl w:val="0"/>
          <w:numId w:val="3"/>
        </w:numPr>
        <w:jc w:val="both"/>
        <w:rPr>
          <w:rFonts w:ascii="Arial" w:hAnsi="Arial" w:cs="Arial"/>
        </w:rPr>
      </w:pPr>
      <w:r w:rsidRPr="00627771">
        <w:rPr>
          <w:rFonts w:ascii="Arial" w:eastAsiaTheme="minorEastAsia" w:hAnsi="Arial" w:cs="Arial"/>
          <w:i/>
          <w:iCs/>
          <w:color w:val="000000" w:themeColor="text1"/>
          <w:kern w:val="24"/>
        </w:rPr>
        <w:t>Recurso a que se nega provimento.</w:t>
      </w:r>
    </w:p>
    <w:p w:rsidR="003C18F5" w:rsidRPr="00627771" w:rsidRDefault="003C18F5" w:rsidP="00627771">
      <w:pPr>
        <w:pStyle w:val="NormalWeb"/>
        <w:spacing w:before="0" w:beforeAutospacing="0" w:after="0" w:afterAutospacing="0"/>
        <w:jc w:val="both"/>
        <w:rPr>
          <w:rFonts w:ascii="Arial" w:hAnsi="Arial" w:cs="Arial"/>
        </w:rPr>
      </w:pPr>
      <w:r w:rsidRPr="00627771">
        <w:rPr>
          <w:rFonts w:ascii="Arial" w:eastAsiaTheme="minorEastAsia" w:hAnsi="Arial" w:cs="Arial"/>
          <w:i/>
          <w:iCs/>
          <w:color w:val="000000" w:themeColor="text1"/>
          <w:kern w:val="24"/>
        </w:rPr>
        <w:t xml:space="preserve"> </w:t>
      </w:r>
    </w:p>
    <w:p w:rsidR="003C18F5" w:rsidRPr="00627771" w:rsidRDefault="003C18F5" w:rsidP="00627771">
      <w:pPr>
        <w:jc w:val="both"/>
        <w:rPr>
          <w:rFonts w:ascii="Arial" w:hAnsi="Arial" w:cs="Arial"/>
          <w:sz w:val="24"/>
          <w:szCs w:val="24"/>
        </w:rPr>
      </w:pPr>
    </w:p>
    <w:p w:rsidR="003C18F5" w:rsidRPr="00627771" w:rsidRDefault="003C18F5" w:rsidP="00627771">
      <w:pPr>
        <w:jc w:val="both"/>
        <w:rPr>
          <w:rFonts w:ascii="Arial" w:hAnsi="Arial" w:cs="Arial"/>
          <w:sz w:val="24"/>
          <w:szCs w:val="24"/>
        </w:rPr>
      </w:pPr>
    </w:p>
    <w:p w:rsidR="003C18F5" w:rsidRPr="00627771" w:rsidRDefault="003C18F5" w:rsidP="00627771">
      <w:pPr>
        <w:jc w:val="both"/>
        <w:rPr>
          <w:rFonts w:ascii="Arial" w:hAnsi="Arial" w:cs="Arial"/>
          <w:sz w:val="24"/>
          <w:szCs w:val="24"/>
        </w:rPr>
      </w:pPr>
      <w:r w:rsidRPr="00627771">
        <w:rPr>
          <w:rFonts w:ascii="Arial" w:hAnsi="Arial" w:cs="Arial"/>
          <w:sz w:val="24"/>
          <w:szCs w:val="24"/>
        </w:rPr>
        <w:t xml:space="preserve">NLL - </w:t>
      </w:r>
      <w:r w:rsidRPr="00627771">
        <w:rPr>
          <w:rFonts w:ascii="Arial" w:eastAsiaTheme="majorEastAsia" w:hAnsi="Arial" w:cs="Arial"/>
          <w:b/>
          <w:bCs/>
          <w:caps/>
          <w:spacing w:val="40"/>
          <w:kern w:val="24"/>
          <w:position w:val="1"/>
          <w:sz w:val="24"/>
          <w:szCs w:val="24"/>
        </w:rPr>
        <w:t>14.133/21</w:t>
      </w:r>
    </w:p>
    <w:p w:rsidR="003C18F5" w:rsidRPr="00627771" w:rsidRDefault="003C18F5" w:rsidP="00627771">
      <w:pPr>
        <w:pStyle w:val="NormalWeb"/>
        <w:spacing w:before="225" w:beforeAutospacing="0" w:after="225" w:afterAutospacing="0"/>
        <w:jc w:val="both"/>
        <w:rPr>
          <w:rFonts w:ascii="Arial" w:hAnsi="Arial" w:cs="Arial"/>
        </w:rPr>
      </w:pPr>
      <w:r w:rsidRPr="00627771">
        <w:rPr>
          <w:rFonts w:ascii="Arial" w:hAnsi="Arial" w:cs="Arial"/>
          <w:b/>
          <w:bCs/>
          <w:color w:val="000000"/>
          <w:kern w:val="24"/>
        </w:rPr>
        <w:t>CAPÍTULO I - DAS INFRAÇÕES E SANÇÕES ADMINISTRATIVAS</w:t>
      </w:r>
    </w:p>
    <w:p w:rsidR="003C18F5" w:rsidRPr="00627771" w:rsidRDefault="003C18F5" w:rsidP="00627771">
      <w:pPr>
        <w:pStyle w:val="PargrafodaLista"/>
        <w:numPr>
          <w:ilvl w:val="0"/>
          <w:numId w:val="4"/>
        </w:numPr>
        <w:spacing w:line="360" w:lineRule="exact"/>
        <w:jc w:val="both"/>
        <w:textAlignment w:val="baseline"/>
        <w:rPr>
          <w:rFonts w:ascii="Arial" w:hAnsi="Arial" w:cs="Arial"/>
        </w:rPr>
      </w:pPr>
      <w:r w:rsidRPr="00627771">
        <w:rPr>
          <w:rFonts w:ascii="Arial" w:hAnsi="Arial" w:cs="Arial"/>
          <w:color w:val="000000" w:themeColor="text1"/>
          <w:kern w:val="24"/>
        </w:rPr>
        <w:t xml:space="preserve">Art. 155 – </w:t>
      </w:r>
      <w:r w:rsidRPr="00627771">
        <w:rPr>
          <w:rFonts w:ascii="Arial" w:hAnsi="Arial" w:cs="Arial"/>
          <w:b/>
          <w:bCs/>
          <w:color w:val="000000" w:themeColor="text1"/>
          <w:kern w:val="24"/>
          <w:u w:val="single"/>
        </w:rPr>
        <w:t>elencou as p</w:t>
      </w:r>
      <w:bookmarkStart w:id="0" w:name="_GoBack"/>
      <w:bookmarkEnd w:id="0"/>
      <w:r w:rsidRPr="00627771">
        <w:rPr>
          <w:rFonts w:ascii="Arial" w:hAnsi="Arial" w:cs="Arial"/>
          <w:b/>
          <w:bCs/>
          <w:color w:val="000000" w:themeColor="text1"/>
          <w:kern w:val="24"/>
          <w:u w:val="single"/>
        </w:rPr>
        <w:t xml:space="preserve">ossíveis infrações administrativas </w:t>
      </w:r>
      <w:r w:rsidRPr="00627771">
        <w:rPr>
          <w:rFonts w:ascii="Arial" w:hAnsi="Arial" w:cs="Arial"/>
          <w:color w:val="000000" w:themeColor="text1"/>
          <w:kern w:val="24"/>
        </w:rPr>
        <w:t>que o licitante ou contratado será responsabilizado.</w:t>
      </w:r>
    </w:p>
    <w:p w:rsidR="003C18F5" w:rsidRPr="00627771" w:rsidRDefault="003C18F5" w:rsidP="00627771">
      <w:pPr>
        <w:pStyle w:val="PargrafodaLista"/>
        <w:numPr>
          <w:ilvl w:val="0"/>
          <w:numId w:val="4"/>
        </w:numPr>
        <w:spacing w:line="360" w:lineRule="exact"/>
        <w:jc w:val="both"/>
        <w:textAlignment w:val="baseline"/>
        <w:rPr>
          <w:rFonts w:ascii="Arial" w:hAnsi="Arial" w:cs="Arial"/>
        </w:rPr>
      </w:pPr>
      <w:r w:rsidRPr="00627771">
        <w:rPr>
          <w:rFonts w:ascii="Arial" w:hAnsi="Arial" w:cs="Arial"/>
          <w:color w:val="000000" w:themeColor="text1"/>
          <w:kern w:val="24"/>
        </w:rPr>
        <w:t xml:space="preserve">Art. 156 – </w:t>
      </w:r>
      <w:r w:rsidRPr="00627771">
        <w:rPr>
          <w:rFonts w:ascii="Arial" w:hAnsi="Arial" w:cs="Arial"/>
          <w:b/>
          <w:bCs/>
          <w:color w:val="000000" w:themeColor="text1"/>
          <w:kern w:val="24"/>
          <w:u w:val="single"/>
        </w:rPr>
        <w:t xml:space="preserve">elencou as sanções que podem ser aplicadas </w:t>
      </w:r>
      <w:r w:rsidRPr="00627771">
        <w:rPr>
          <w:rFonts w:ascii="Arial" w:hAnsi="Arial" w:cs="Arial"/>
          <w:color w:val="000000" w:themeColor="text1"/>
          <w:kern w:val="24"/>
        </w:rPr>
        <w:t xml:space="preserve">(advertência, multa, impedimento de licitar ou contratar e declaração de inidoneidade para licitar ou contratar), o tempo de sua aplicação e os critérios </w:t>
      </w:r>
    </w:p>
    <w:p w:rsidR="003C18F5" w:rsidRPr="00627771" w:rsidRDefault="003C18F5" w:rsidP="00627771">
      <w:pPr>
        <w:pStyle w:val="PargrafodaLista"/>
        <w:numPr>
          <w:ilvl w:val="0"/>
          <w:numId w:val="4"/>
        </w:numPr>
        <w:spacing w:line="360" w:lineRule="exact"/>
        <w:jc w:val="both"/>
        <w:textAlignment w:val="baseline"/>
        <w:rPr>
          <w:rFonts w:ascii="Arial" w:hAnsi="Arial" w:cs="Arial"/>
        </w:rPr>
      </w:pPr>
      <w:r w:rsidRPr="00627771">
        <w:rPr>
          <w:rFonts w:ascii="Arial" w:hAnsi="Arial" w:cs="Arial"/>
          <w:color w:val="000000" w:themeColor="text1"/>
          <w:kern w:val="24"/>
        </w:rPr>
        <w:t xml:space="preserve">Art.158 – </w:t>
      </w:r>
      <w:r w:rsidRPr="00627771">
        <w:rPr>
          <w:rFonts w:ascii="Arial" w:hAnsi="Arial" w:cs="Arial"/>
          <w:b/>
          <w:bCs/>
          <w:color w:val="000000" w:themeColor="text1"/>
          <w:kern w:val="24"/>
          <w:u w:val="single"/>
        </w:rPr>
        <w:t xml:space="preserve">dispõe sobre o procedimento para aplicar as sanções </w:t>
      </w:r>
      <w:r w:rsidRPr="00627771">
        <w:rPr>
          <w:rFonts w:ascii="Arial" w:hAnsi="Arial" w:cs="Arial"/>
          <w:color w:val="000000" w:themeColor="text1"/>
          <w:kern w:val="24"/>
        </w:rPr>
        <w:t>de impedimento de licitar ou contratar e de declaração de inidoneidade.</w:t>
      </w:r>
    </w:p>
    <w:p w:rsidR="003C18F5" w:rsidRPr="00627771" w:rsidRDefault="003C18F5" w:rsidP="00627771">
      <w:pPr>
        <w:pStyle w:val="PargrafodaLista"/>
        <w:numPr>
          <w:ilvl w:val="0"/>
          <w:numId w:val="4"/>
        </w:numPr>
        <w:spacing w:line="360" w:lineRule="exact"/>
        <w:jc w:val="both"/>
        <w:textAlignment w:val="baseline"/>
        <w:rPr>
          <w:rFonts w:ascii="Arial" w:hAnsi="Arial" w:cs="Arial"/>
        </w:rPr>
      </w:pPr>
      <w:r w:rsidRPr="00627771">
        <w:rPr>
          <w:rFonts w:ascii="Arial" w:hAnsi="Arial" w:cs="Arial"/>
          <w:b/>
          <w:bCs/>
          <w:color w:val="000000" w:themeColor="text1"/>
          <w:kern w:val="24"/>
        </w:rPr>
        <w:t>Art. 160 – previu a possibilidade de extensão dos efeitos dessas sanções a terceiros, mediante a aplicação da teoria da desconsideração da personalidade jurídica.</w:t>
      </w:r>
    </w:p>
    <w:p w:rsidR="003C18F5" w:rsidRPr="00627771" w:rsidRDefault="003C18F5" w:rsidP="00627771">
      <w:pPr>
        <w:jc w:val="both"/>
        <w:rPr>
          <w:rFonts w:ascii="Arial" w:hAnsi="Arial" w:cs="Arial"/>
          <w:sz w:val="24"/>
          <w:szCs w:val="24"/>
        </w:rPr>
      </w:pPr>
      <w:r w:rsidRPr="00627771">
        <w:rPr>
          <w:rFonts w:ascii="Arial" w:hAnsi="Arial" w:cs="Arial"/>
          <w:b/>
          <w:bCs/>
          <w:sz w:val="24"/>
          <w:szCs w:val="24"/>
        </w:rPr>
        <w:t xml:space="preserve">Inovação da NLL </w:t>
      </w:r>
    </w:p>
    <w:p w:rsidR="003C18F5" w:rsidRPr="00627771" w:rsidRDefault="003C18F5" w:rsidP="00627771">
      <w:pPr>
        <w:jc w:val="both"/>
        <w:rPr>
          <w:rFonts w:ascii="Arial" w:hAnsi="Arial" w:cs="Arial"/>
          <w:sz w:val="24"/>
          <w:szCs w:val="24"/>
        </w:rPr>
      </w:pPr>
      <w:r w:rsidRPr="00627771">
        <w:rPr>
          <w:rFonts w:ascii="Arial" w:hAnsi="Arial" w:cs="Arial"/>
          <w:sz w:val="24"/>
          <w:szCs w:val="24"/>
        </w:rPr>
        <w:t xml:space="preserve">A primeira parte do dispositivo estabelece os pressupostos elementares indispensáveis à aplicação da teoria da desconsideração da personalidade, </w:t>
      </w:r>
      <w:r w:rsidRPr="00627771">
        <w:rPr>
          <w:rFonts w:ascii="Arial" w:hAnsi="Arial" w:cs="Arial"/>
          <w:b/>
          <w:bCs/>
          <w:i/>
          <w:iCs/>
          <w:sz w:val="24"/>
          <w:szCs w:val="24"/>
          <w:u w:val="single"/>
        </w:rPr>
        <w:t>abuso do direito</w:t>
      </w:r>
      <w:r w:rsidRPr="00627771">
        <w:rPr>
          <w:rFonts w:ascii="Arial" w:hAnsi="Arial" w:cs="Arial"/>
          <w:b/>
          <w:bCs/>
          <w:sz w:val="24"/>
          <w:szCs w:val="24"/>
          <w:u w:val="single"/>
        </w:rPr>
        <w:t> </w:t>
      </w:r>
      <w:r w:rsidRPr="00627771">
        <w:rPr>
          <w:rFonts w:ascii="Arial" w:hAnsi="Arial" w:cs="Arial"/>
          <w:sz w:val="24"/>
          <w:szCs w:val="24"/>
        </w:rPr>
        <w:t>(elemento subjetivo) para:</w:t>
      </w:r>
    </w:p>
    <w:p w:rsidR="00000000" w:rsidRPr="00627771" w:rsidRDefault="00627771" w:rsidP="00627771">
      <w:pPr>
        <w:numPr>
          <w:ilvl w:val="0"/>
          <w:numId w:val="5"/>
        </w:numPr>
        <w:jc w:val="both"/>
        <w:rPr>
          <w:rFonts w:ascii="Arial" w:hAnsi="Arial" w:cs="Arial"/>
          <w:sz w:val="24"/>
          <w:szCs w:val="24"/>
        </w:rPr>
      </w:pPr>
      <w:r w:rsidRPr="00627771">
        <w:rPr>
          <w:rFonts w:ascii="Arial" w:hAnsi="Arial" w:cs="Arial"/>
          <w:b/>
          <w:bCs/>
          <w:sz w:val="24"/>
          <w:szCs w:val="24"/>
          <w:u w:val="single"/>
        </w:rPr>
        <w:t xml:space="preserve">facilitar, encobrir ou dissimular </w:t>
      </w:r>
      <w:r w:rsidRPr="00627771">
        <w:rPr>
          <w:rFonts w:ascii="Arial" w:hAnsi="Arial" w:cs="Arial"/>
          <w:b/>
          <w:bCs/>
          <w:sz w:val="24"/>
          <w:szCs w:val="24"/>
          <w:u w:val="single"/>
        </w:rPr>
        <w:t>a prática dos atos ilícitos previstos nesta lei</w:t>
      </w:r>
      <w:r w:rsidRPr="00627771">
        <w:rPr>
          <w:rFonts w:ascii="Arial" w:hAnsi="Arial" w:cs="Arial"/>
          <w:sz w:val="24"/>
          <w:szCs w:val="24"/>
        </w:rPr>
        <w:t xml:space="preserve">; ou </w:t>
      </w:r>
    </w:p>
    <w:p w:rsidR="00000000" w:rsidRPr="00627771" w:rsidRDefault="00627771" w:rsidP="00627771">
      <w:pPr>
        <w:numPr>
          <w:ilvl w:val="0"/>
          <w:numId w:val="5"/>
        </w:numPr>
        <w:jc w:val="both"/>
        <w:rPr>
          <w:rFonts w:ascii="Arial" w:hAnsi="Arial" w:cs="Arial"/>
          <w:sz w:val="24"/>
          <w:szCs w:val="24"/>
        </w:rPr>
      </w:pPr>
      <w:r w:rsidRPr="00627771">
        <w:rPr>
          <w:rFonts w:ascii="Arial" w:hAnsi="Arial" w:cs="Arial"/>
          <w:sz w:val="24"/>
          <w:szCs w:val="24"/>
        </w:rPr>
        <w:lastRenderedPageBreak/>
        <w:t>provocar confusão patrimonial.</w:t>
      </w:r>
    </w:p>
    <w:p w:rsidR="003C18F5" w:rsidRPr="00627771" w:rsidRDefault="003C18F5" w:rsidP="00627771">
      <w:pPr>
        <w:jc w:val="both"/>
        <w:rPr>
          <w:rFonts w:ascii="Arial" w:hAnsi="Arial" w:cs="Arial"/>
          <w:sz w:val="24"/>
          <w:szCs w:val="24"/>
        </w:rPr>
      </w:pPr>
      <w:r w:rsidRPr="00627771">
        <w:rPr>
          <w:rFonts w:ascii="Arial" w:hAnsi="Arial" w:cs="Arial"/>
          <w:sz w:val="24"/>
          <w:szCs w:val="24"/>
        </w:rPr>
        <w:t>Reprodução idêntica do quanto disposto no artigo 14 da Lei Anticorrupção.</w:t>
      </w:r>
    </w:p>
    <w:p w:rsidR="003C18F5" w:rsidRPr="00627771" w:rsidRDefault="003C18F5" w:rsidP="00627771">
      <w:pPr>
        <w:jc w:val="both"/>
        <w:rPr>
          <w:rFonts w:ascii="Arial" w:hAnsi="Arial" w:cs="Arial"/>
          <w:sz w:val="24"/>
          <w:szCs w:val="24"/>
        </w:rPr>
      </w:pPr>
      <w:r w:rsidRPr="00627771">
        <w:rPr>
          <w:rFonts w:ascii="Arial" w:hAnsi="Arial" w:cs="Arial"/>
          <w:sz w:val="24"/>
          <w:szCs w:val="24"/>
        </w:rPr>
        <w:t xml:space="preserve">“Art. 14. A personalidade jurídica poderá ser desconsiderada sempre que utilizada com </w:t>
      </w:r>
      <w:r w:rsidRPr="00627771">
        <w:rPr>
          <w:rFonts w:ascii="Arial" w:hAnsi="Arial" w:cs="Arial"/>
          <w:b/>
          <w:bCs/>
          <w:sz w:val="24"/>
          <w:szCs w:val="24"/>
        </w:rPr>
        <w:t>abuso do direito para facilitar, encobrir ou dissimular a prática dos atos ilícitos previstos nesta Lei ou para provocar confusão patrimonial</w:t>
      </w:r>
      <w:r w:rsidRPr="00627771">
        <w:rPr>
          <w:rFonts w:ascii="Arial" w:hAnsi="Arial" w:cs="Arial"/>
          <w:sz w:val="24"/>
          <w:szCs w:val="24"/>
        </w:rPr>
        <w:t>, sendo estendidos todos os efeitos das sanções aplicadas à pessoa jurídica aos seus administradores e sócios com poderes de administração, observados o contraditório e a ampla defesa.”</w:t>
      </w:r>
    </w:p>
    <w:p w:rsidR="003C18F5" w:rsidRPr="003C18F5" w:rsidRDefault="003C18F5" w:rsidP="00627771">
      <w:pPr>
        <w:spacing w:after="225" w:line="240" w:lineRule="auto"/>
        <w:jc w:val="both"/>
        <w:textAlignment w:val="baseline"/>
        <w:rPr>
          <w:rFonts w:ascii="Arial" w:eastAsia="Times New Roman" w:hAnsi="Arial" w:cs="Arial"/>
          <w:sz w:val="24"/>
          <w:szCs w:val="24"/>
          <w:lang w:eastAsia="pt-BR"/>
        </w:rPr>
      </w:pPr>
      <w:r w:rsidRPr="003C18F5">
        <w:rPr>
          <w:rFonts w:ascii="Arial" w:eastAsia="Times New Roman" w:hAnsi="Arial" w:cs="Arial"/>
          <w:color w:val="1A1A1A"/>
          <w:kern w:val="24"/>
          <w:sz w:val="24"/>
          <w:szCs w:val="24"/>
          <w:lang w:eastAsia="pt-BR"/>
        </w:rPr>
        <w:t xml:space="preserve">A segunda parte dispõe sobre </w:t>
      </w:r>
      <w:r w:rsidRPr="003C18F5">
        <w:rPr>
          <w:rFonts w:ascii="Arial" w:eastAsia="Times New Roman" w:hAnsi="Arial" w:cs="Arial"/>
          <w:color w:val="202124"/>
          <w:kern w:val="24"/>
          <w:sz w:val="24"/>
          <w:szCs w:val="24"/>
          <w:lang w:eastAsia="pt-BR"/>
        </w:rPr>
        <w:t xml:space="preserve">as </w:t>
      </w:r>
      <w:r w:rsidRPr="003C18F5">
        <w:rPr>
          <w:rFonts w:ascii="Arial" w:eastAsia="Times New Roman" w:hAnsi="Arial" w:cs="Arial"/>
          <w:b/>
          <w:bCs/>
          <w:color w:val="202124"/>
          <w:kern w:val="24"/>
          <w:sz w:val="24"/>
          <w:szCs w:val="24"/>
          <w:u w:val="single"/>
          <w:lang w:eastAsia="pt-BR"/>
        </w:rPr>
        <w:t>pessoas que poderão ser por ela afetadas</w:t>
      </w:r>
      <w:r w:rsidRPr="003C18F5">
        <w:rPr>
          <w:rFonts w:ascii="Arial" w:eastAsia="Times New Roman" w:hAnsi="Arial" w:cs="Arial"/>
          <w:color w:val="202124"/>
          <w:kern w:val="24"/>
          <w:sz w:val="24"/>
          <w:szCs w:val="24"/>
          <w:lang w:eastAsia="pt-BR"/>
        </w:rPr>
        <w:t xml:space="preserve">: </w:t>
      </w:r>
      <w:r w:rsidRPr="003C18F5">
        <w:rPr>
          <w:rFonts w:ascii="Arial" w:eastAsia="Times New Roman" w:hAnsi="Arial" w:cs="Arial"/>
          <w:color w:val="1A1A1A"/>
          <w:kern w:val="24"/>
          <w:sz w:val="24"/>
          <w:szCs w:val="24"/>
          <w:lang w:eastAsia="pt-BR"/>
        </w:rPr>
        <w:t>"(...) seus administradores e sócios com poderes de administração, a pessoa jurídica sucessora ou a empresa do mesmo ramo com relação de coligação ou controle, de fato ou de direito, com o sancionado (...)”</w:t>
      </w:r>
    </w:p>
    <w:p w:rsidR="003C18F5" w:rsidRPr="003C18F5" w:rsidRDefault="003C18F5" w:rsidP="00627771">
      <w:pPr>
        <w:spacing w:after="225" w:line="240" w:lineRule="auto"/>
        <w:jc w:val="both"/>
        <w:textAlignment w:val="baseline"/>
        <w:rPr>
          <w:rFonts w:ascii="Arial" w:eastAsia="Times New Roman" w:hAnsi="Arial" w:cs="Arial"/>
          <w:sz w:val="24"/>
          <w:szCs w:val="24"/>
          <w:lang w:eastAsia="pt-BR"/>
        </w:rPr>
      </w:pPr>
      <w:r w:rsidRPr="003C18F5">
        <w:rPr>
          <w:rFonts w:ascii="Arial" w:eastAsia="Times New Roman" w:hAnsi="Arial" w:cs="Arial"/>
          <w:color w:val="1A1A1A"/>
          <w:kern w:val="24"/>
          <w:sz w:val="24"/>
          <w:szCs w:val="24"/>
          <w:lang w:eastAsia="pt-BR"/>
        </w:rPr>
        <w:t xml:space="preserve">Ampliação do rol de pessoas (físicas e jurídicas) que poderão ser afetadas em caso de aplicação da teoria da desconsideração da personalidade jurídica. </w:t>
      </w:r>
    </w:p>
    <w:p w:rsidR="003C18F5" w:rsidRPr="003C18F5" w:rsidRDefault="003C18F5" w:rsidP="00627771">
      <w:pPr>
        <w:spacing w:after="225" w:line="240" w:lineRule="auto"/>
        <w:jc w:val="both"/>
        <w:textAlignment w:val="baseline"/>
        <w:rPr>
          <w:rFonts w:ascii="Arial" w:eastAsia="Times New Roman" w:hAnsi="Arial" w:cs="Arial"/>
          <w:sz w:val="24"/>
          <w:szCs w:val="24"/>
          <w:lang w:eastAsia="pt-BR"/>
        </w:rPr>
      </w:pPr>
      <w:r w:rsidRPr="003C18F5">
        <w:rPr>
          <w:rFonts w:ascii="Arial" w:eastAsia="Times New Roman" w:hAnsi="Arial" w:cs="Arial"/>
          <w:color w:val="1A1A1A"/>
          <w:kern w:val="24"/>
          <w:sz w:val="24"/>
          <w:szCs w:val="24"/>
          <w:lang w:eastAsia="pt-BR"/>
        </w:rPr>
        <w:t xml:space="preserve">E, a última parte </w:t>
      </w:r>
      <w:r w:rsidRPr="003C18F5">
        <w:rPr>
          <w:rFonts w:ascii="Arial" w:eastAsia="Times New Roman" w:hAnsi="Arial" w:cs="Arial"/>
          <w:b/>
          <w:bCs/>
          <w:color w:val="1A1A1A"/>
          <w:kern w:val="24"/>
          <w:sz w:val="24"/>
          <w:szCs w:val="24"/>
          <w:u w:val="single"/>
          <w:lang w:eastAsia="pt-BR"/>
        </w:rPr>
        <w:t>assegura</w:t>
      </w:r>
      <w:r w:rsidRPr="003C18F5">
        <w:rPr>
          <w:rFonts w:ascii="Arial" w:eastAsia="Times New Roman" w:hAnsi="Arial" w:cs="Arial"/>
          <w:color w:val="1A1A1A"/>
          <w:kern w:val="24"/>
          <w:sz w:val="24"/>
          <w:szCs w:val="24"/>
          <w:lang w:eastAsia="pt-BR"/>
        </w:rPr>
        <w:t xml:space="preserve"> “(...) </w:t>
      </w:r>
      <w:r w:rsidRPr="003C18F5">
        <w:rPr>
          <w:rFonts w:ascii="Arial" w:eastAsia="Calibri" w:hAnsi="Arial" w:cs="Arial"/>
          <w:color w:val="000000"/>
          <w:kern w:val="24"/>
          <w:sz w:val="24"/>
          <w:szCs w:val="24"/>
          <w:lang w:eastAsia="pt-BR"/>
        </w:rPr>
        <w:t xml:space="preserve">em todos os casos, </w:t>
      </w:r>
      <w:r w:rsidRPr="003C18F5">
        <w:rPr>
          <w:rFonts w:ascii="Arial" w:eastAsia="Calibri" w:hAnsi="Arial" w:cs="Arial"/>
          <w:b/>
          <w:bCs/>
          <w:color w:val="000000"/>
          <w:kern w:val="24"/>
          <w:sz w:val="24"/>
          <w:szCs w:val="24"/>
          <w:lang w:eastAsia="pt-BR"/>
        </w:rPr>
        <w:t xml:space="preserve">o contraditório, a ampla defesa </w:t>
      </w:r>
      <w:r w:rsidRPr="003C18F5">
        <w:rPr>
          <w:rFonts w:ascii="Arial" w:eastAsia="Calibri" w:hAnsi="Arial" w:cs="Arial"/>
          <w:color w:val="000000"/>
          <w:kern w:val="24"/>
          <w:sz w:val="24"/>
          <w:szCs w:val="24"/>
          <w:lang w:eastAsia="pt-BR"/>
        </w:rPr>
        <w:t xml:space="preserve">e a </w:t>
      </w:r>
      <w:r w:rsidRPr="003C18F5">
        <w:rPr>
          <w:rFonts w:ascii="Arial" w:eastAsia="Calibri" w:hAnsi="Arial" w:cs="Arial"/>
          <w:b/>
          <w:bCs/>
          <w:color w:val="000000"/>
          <w:kern w:val="24"/>
          <w:sz w:val="24"/>
          <w:szCs w:val="24"/>
          <w:u w:val="single"/>
          <w:lang w:eastAsia="pt-BR"/>
        </w:rPr>
        <w:t>obrigatoriedade de análise jurídica prévia</w:t>
      </w:r>
      <w:r w:rsidRPr="003C18F5">
        <w:rPr>
          <w:rFonts w:ascii="Arial" w:eastAsia="Calibri" w:hAnsi="Arial" w:cs="Arial"/>
          <w:color w:val="000000"/>
          <w:kern w:val="24"/>
          <w:sz w:val="24"/>
          <w:szCs w:val="24"/>
          <w:lang w:eastAsia="pt-BR"/>
        </w:rPr>
        <w:t>”.</w:t>
      </w:r>
    </w:p>
    <w:p w:rsidR="003C18F5" w:rsidRPr="00627771" w:rsidRDefault="003C18F5" w:rsidP="00627771">
      <w:pPr>
        <w:jc w:val="both"/>
        <w:rPr>
          <w:rFonts w:ascii="Arial" w:eastAsia="Times New Roman" w:hAnsi="Arial" w:cs="Arial"/>
          <w:color w:val="1A1A1A"/>
          <w:kern w:val="24"/>
          <w:sz w:val="24"/>
          <w:szCs w:val="24"/>
          <w:lang w:eastAsia="pt-BR"/>
        </w:rPr>
      </w:pPr>
      <w:r w:rsidRPr="00627771">
        <w:rPr>
          <w:rFonts w:ascii="Arial" w:eastAsia="Times New Roman" w:hAnsi="Arial" w:cs="Arial"/>
          <w:color w:val="1A1A1A"/>
          <w:kern w:val="24"/>
          <w:sz w:val="24"/>
          <w:szCs w:val="24"/>
          <w:lang w:eastAsia="pt-BR"/>
        </w:rPr>
        <w:t>Entende-se que “análise jurídica prévia” consistiria em um parecer jurídico do órgão competente</w:t>
      </w:r>
    </w:p>
    <w:p w:rsidR="003C18F5" w:rsidRPr="003C18F5" w:rsidRDefault="003C18F5" w:rsidP="00627771">
      <w:pPr>
        <w:spacing w:after="0" w:line="360" w:lineRule="exact"/>
        <w:jc w:val="both"/>
        <w:textAlignment w:val="baseline"/>
        <w:rPr>
          <w:rFonts w:ascii="Arial" w:eastAsia="Times New Roman" w:hAnsi="Arial" w:cs="Arial"/>
          <w:sz w:val="24"/>
          <w:szCs w:val="24"/>
          <w:lang w:eastAsia="pt-BR"/>
        </w:rPr>
      </w:pPr>
      <w:r w:rsidRPr="003C18F5">
        <w:rPr>
          <w:rFonts w:ascii="Arial" w:eastAsia="Times New Roman" w:hAnsi="Arial" w:cs="Arial"/>
          <w:color w:val="000000" w:themeColor="text1"/>
          <w:kern w:val="24"/>
          <w:sz w:val="24"/>
          <w:szCs w:val="24"/>
          <w:u w:val="single"/>
          <w:lang w:eastAsia="pt-BR"/>
        </w:rPr>
        <w:t>CRITÍCAS RELACIONADAS</w:t>
      </w:r>
    </w:p>
    <w:p w:rsidR="003C18F5" w:rsidRPr="003C18F5" w:rsidRDefault="003C18F5" w:rsidP="00627771">
      <w:pPr>
        <w:numPr>
          <w:ilvl w:val="0"/>
          <w:numId w:val="6"/>
        </w:numPr>
        <w:spacing w:after="0" w:line="360" w:lineRule="exact"/>
        <w:ind w:left="1354"/>
        <w:contextualSpacing/>
        <w:jc w:val="both"/>
        <w:textAlignment w:val="baseline"/>
        <w:rPr>
          <w:rFonts w:ascii="Arial" w:eastAsia="Times New Roman" w:hAnsi="Arial" w:cs="Arial"/>
          <w:sz w:val="24"/>
          <w:szCs w:val="24"/>
          <w:lang w:eastAsia="pt-BR"/>
        </w:rPr>
      </w:pPr>
      <w:r w:rsidRPr="003C18F5">
        <w:rPr>
          <w:rFonts w:ascii="Arial" w:eastAsia="Times New Roman" w:hAnsi="Arial" w:cs="Arial"/>
          <w:color w:val="000000" w:themeColor="text1"/>
          <w:kern w:val="24"/>
          <w:sz w:val="24"/>
          <w:szCs w:val="24"/>
          <w:lang w:eastAsia="pt-BR"/>
        </w:rPr>
        <w:t xml:space="preserve">a redação do artigo 160 é extremamente confusa no que tange aos pressupostos para a aplicação da teoria; </w:t>
      </w:r>
    </w:p>
    <w:p w:rsidR="003C18F5" w:rsidRPr="003C18F5" w:rsidRDefault="003C18F5" w:rsidP="00627771">
      <w:pPr>
        <w:numPr>
          <w:ilvl w:val="0"/>
          <w:numId w:val="6"/>
        </w:numPr>
        <w:spacing w:after="0" w:line="360" w:lineRule="exact"/>
        <w:ind w:left="1354"/>
        <w:contextualSpacing/>
        <w:jc w:val="both"/>
        <w:textAlignment w:val="baseline"/>
        <w:rPr>
          <w:rFonts w:ascii="Arial" w:eastAsia="Times New Roman" w:hAnsi="Arial" w:cs="Arial"/>
          <w:sz w:val="24"/>
          <w:szCs w:val="24"/>
          <w:lang w:eastAsia="pt-BR"/>
        </w:rPr>
      </w:pPr>
      <w:r w:rsidRPr="003C18F5">
        <w:rPr>
          <w:rFonts w:ascii="Arial" w:eastAsia="Times New Roman" w:hAnsi="Arial" w:cs="Arial"/>
          <w:color w:val="000000" w:themeColor="text1"/>
          <w:kern w:val="24"/>
          <w:sz w:val="24"/>
          <w:szCs w:val="24"/>
          <w:lang w:eastAsia="pt-BR"/>
        </w:rPr>
        <w:t xml:space="preserve">esse dispositivo legal não esclarece se é cabível, ou não, a desconsideração inversa da personalidade jurídica (essa hipótese diz respeito à responsabilidade da sociedade por dividas pessoais dos sócios), apesar de os incisos VIII e IX do artigo 6º da nova lei evidenciarem que o licitante ou contratante também pode ser uma pessoa física; </w:t>
      </w:r>
    </w:p>
    <w:p w:rsidR="003C18F5" w:rsidRPr="003C18F5" w:rsidRDefault="003C18F5" w:rsidP="00627771">
      <w:pPr>
        <w:numPr>
          <w:ilvl w:val="0"/>
          <w:numId w:val="6"/>
        </w:numPr>
        <w:spacing w:after="0" w:line="360" w:lineRule="exact"/>
        <w:ind w:left="1354"/>
        <w:contextualSpacing/>
        <w:jc w:val="both"/>
        <w:textAlignment w:val="baseline"/>
        <w:rPr>
          <w:rFonts w:ascii="Arial" w:eastAsia="Times New Roman" w:hAnsi="Arial" w:cs="Arial"/>
          <w:sz w:val="24"/>
          <w:szCs w:val="24"/>
          <w:lang w:eastAsia="pt-BR"/>
        </w:rPr>
      </w:pPr>
      <w:r w:rsidRPr="003C18F5">
        <w:rPr>
          <w:rFonts w:ascii="Arial" w:eastAsiaTheme="minorEastAsia" w:hAnsi="Arial" w:cs="Arial"/>
          <w:color w:val="232323"/>
          <w:kern w:val="24"/>
          <w:sz w:val="24"/>
          <w:szCs w:val="24"/>
          <w:lang w:eastAsia="pt-BR"/>
        </w:rPr>
        <w:t xml:space="preserve">há uma grave falha de o Legislativo não indicar o órgão </w:t>
      </w:r>
      <w:r w:rsidRPr="003C18F5">
        <w:rPr>
          <w:rFonts w:ascii="Arial" w:eastAsia="Times New Roman" w:hAnsi="Arial" w:cs="Arial"/>
          <w:color w:val="000000" w:themeColor="text1"/>
          <w:kern w:val="24"/>
          <w:sz w:val="24"/>
          <w:szCs w:val="24"/>
          <w:lang w:eastAsia="pt-BR"/>
        </w:rPr>
        <w:t>competente para a proceder à desconsideração da personalidade jurídica, se isso se dará no próprio processo de responsabilização previsto no artigo 158, em momento posterior, como outro processo licitatório, por exemplo, ou somente em processo judicial;</w:t>
      </w:r>
    </w:p>
    <w:p w:rsidR="003C18F5" w:rsidRPr="00627771" w:rsidRDefault="003C18F5" w:rsidP="00627771">
      <w:pPr>
        <w:jc w:val="both"/>
        <w:rPr>
          <w:rFonts w:ascii="Arial" w:hAnsi="Arial" w:cs="Arial"/>
          <w:sz w:val="24"/>
          <w:szCs w:val="24"/>
        </w:rPr>
      </w:pPr>
      <w:r w:rsidRPr="00627771">
        <w:rPr>
          <w:rFonts w:ascii="Arial" w:eastAsia="Times New Roman" w:hAnsi="Arial" w:cs="Arial"/>
          <w:color w:val="000000" w:themeColor="text1"/>
          <w:kern w:val="24"/>
          <w:sz w:val="24"/>
          <w:szCs w:val="24"/>
          <w:lang w:eastAsia="pt-BR"/>
        </w:rPr>
        <w:t xml:space="preserve">são abusivas a extensão de sanções graves a pessoas jurídicas que não tenham contribuído para a prática de qualquer ilícito ou que não tenham se beneficiado direta ou indiretamente desse ilícito (violação ao  princípio da </w:t>
      </w:r>
      <w:proofErr w:type="spellStart"/>
      <w:r w:rsidRPr="00627771">
        <w:rPr>
          <w:rFonts w:ascii="Arial" w:eastAsia="Times New Roman" w:hAnsi="Arial" w:cs="Arial"/>
          <w:color w:val="000000" w:themeColor="text1"/>
          <w:kern w:val="24"/>
          <w:sz w:val="24"/>
          <w:szCs w:val="24"/>
          <w:lang w:eastAsia="pt-BR"/>
        </w:rPr>
        <w:t>intranscendência</w:t>
      </w:r>
      <w:proofErr w:type="spellEnd"/>
      <w:r w:rsidRPr="00627771">
        <w:rPr>
          <w:rFonts w:ascii="Arial" w:eastAsia="Times New Roman" w:hAnsi="Arial" w:cs="Arial"/>
          <w:color w:val="000000" w:themeColor="text1"/>
          <w:kern w:val="24"/>
          <w:sz w:val="24"/>
          <w:szCs w:val="24"/>
          <w:lang w:eastAsia="pt-BR"/>
        </w:rPr>
        <w:t>).</w:t>
      </w:r>
    </w:p>
    <w:sectPr w:rsidR="003C18F5" w:rsidRPr="006277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A3A5B"/>
    <w:multiLevelType w:val="hybridMultilevel"/>
    <w:tmpl w:val="F656E850"/>
    <w:lvl w:ilvl="0" w:tplc="FBAA61A6">
      <w:start w:val="1"/>
      <w:numFmt w:val="bullet"/>
      <w:lvlText w:val="•"/>
      <w:lvlJc w:val="left"/>
      <w:pPr>
        <w:tabs>
          <w:tab w:val="num" w:pos="720"/>
        </w:tabs>
        <w:ind w:left="720" w:hanging="360"/>
      </w:pPr>
      <w:rPr>
        <w:rFonts w:ascii="Arial" w:hAnsi="Arial" w:hint="default"/>
      </w:rPr>
    </w:lvl>
    <w:lvl w:ilvl="1" w:tplc="79C2A61E" w:tentative="1">
      <w:start w:val="1"/>
      <w:numFmt w:val="bullet"/>
      <w:lvlText w:val="•"/>
      <w:lvlJc w:val="left"/>
      <w:pPr>
        <w:tabs>
          <w:tab w:val="num" w:pos="1440"/>
        </w:tabs>
        <w:ind w:left="1440" w:hanging="360"/>
      </w:pPr>
      <w:rPr>
        <w:rFonts w:ascii="Arial" w:hAnsi="Arial" w:hint="default"/>
      </w:rPr>
    </w:lvl>
    <w:lvl w:ilvl="2" w:tplc="6A9201D4" w:tentative="1">
      <w:start w:val="1"/>
      <w:numFmt w:val="bullet"/>
      <w:lvlText w:val="•"/>
      <w:lvlJc w:val="left"/>
      <w:pPr>
        <w:tabs>
          <w:tab w:val="num" w:pos="2160"/>
        </w:tabs>
        <w:ind w:left="2160" w:hanging="360"/>
      </w:pPr>
      <w:rPr>
        <w:rFonts w:ascii="Arial" w:hAnsi="Arial" w:hint="default"/>
      </w:rPr>
    </w:lvl>
    <w:lvl w:ilvl="3" w:tplc="7D8CD7FC" w:tentative="1">
      <w:start w:val="1"/>
      <w:numFmt w:val="bullet"/>
      <w:lvlText w:val="•"/>
      <w:lvlJc w:val="left"/>
      <w:pPr>
        <w:tabs>
          <w:tab w:val="num" w:pos="2880"/>
        </w:tabs>
        <w:ind w:left="2880" w:hanging="360"/>
      </w:pPr>
      <w:rPr>
        <w:rFonts w:ascii="Arial" w:hAnsi="Arial" w:hint="default"/>
      </w:rPr>
    </w:lvl>
    <w:lvl w:ilvl="4" w:tplc="85BA91CA" w:tentative="1">
      <w:start w:val="1"/>
      <w:numFmt w:val="bullet"/>
      <w:lvlText w:val="•"/>
      <w:lvlJc w:val="left"/>
      <w:pPr>
        <w:tabs>
          <w:tab w:val="num" w:pos="3600"/>
        </w:tabs>
        <w:ind w:left="3600" w:hanging="360"/>
      </w:pPr>
      <w:rPr>
        <w:rFonts w:ascii="Arial" w:hAnsi="Arial" w:hint="default"/>
      </w:rPr>
    </w:lvl>
    <w:lvl w:ilvl="5" w:tplc="5F20B3F0" w:tentative="1">
      <w:start w:val="1"/>
      <w:numFmt w:val="bullet"/>
      <w:lvlText w:val="•"/>
      <w:lvlJc w:val="left"/>
      <w:pPr>
        <w:tabs>
          <w:tab w:val="num" w:pos="4320"/>
        </w:tabs>
        <w:ind w:left="4320" w:hanging="360"/>
      </w:pPr>
      <w:rPr>
        <w:rFonts w:ascii="Arial" w:hAnsi="Arial" w:hint="default"/>
      </w:rPr>
    </w:lvl>
    <w:lvl w:ilvl="6" w:tplc="AC4ED374" w:tentative="1">
      <w:start w:val="1"/>
      <w:numFmt w:val="bullet"/>
      <w:lvlText w:val="•"/>
      <w:lvlJc w:val="left"/>
      <w:pPr>
        <w:tabs>
          <w:tab w:val="num" w:pos="5040"/>
        </w:tabs>
        <w:ind w:left="5040" w:hanging="360"/>
      </w:pPr>
      <w:rPr>
        <w:rFonts w:ascii="Arial" w:hAnsi="Arial" w:hint="default"/>
      </w:rPr>
    </w:lvl>
    <w:lvl w:ilvl="7" w:tplc="C212A954" w:tentative="1">
      <w:start w:val="1"/>
      <w:numFmt w:val="bullet"/>
      <w:lvlText w:val="•"/>
      <w:lvlJc w:val="left"/>
      <w:pPr>
        <w:tabs>
          <w:tab w:val="num" w:pos="5760"/>
        </w:tabs>
        <w:ind w:left="5760" w:hanging="360"/>
      </w:pPr>
      <w:rPr>
        <w:rFonts w:ascii="Arial" w:hAnsi="Arial" w:hint="default"/>
      </w:rPr>
    </w:lvl>
    <w:lvl w:ilvl="8" w:tplc="AEAA45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60115D"/>
    <w:multiLevelType w:val="hybridMultilevel"/>
    <w:tmpl w:val="9FA61D94"/>
    <w:lvl w:ilvl="0" w:tplc="25CA333A">
      <w:start w:val="1"/>
      <w:numFmt w:val="bullet"/>
      <w:lvlText w:val="•"/>
      <w:lvlJc w:val="left"/>
      <w:pPr>
        <w:tabs>
          <w:tab w:val="num" w:pos="720"/>
        </w:tabs>
        <w:ind w:left="720" w:hanging="360"/>
      </w:pPr>
      <w:rPr>
        <w:rFonts w:ascii="Arial" w:hAnsi="Arial" w:hint="default"/>
      </w:rPr>
    </w:lvl>
    <w:lvl w:ilvl="1" w:tplc="C7E4FEEC" w:tentative="1">
      <w:start w:val="1"/>
      <w:numFmt w:val="bullet"/>
      <w:lvlText w:val="•"/>
      <w:lvlJc w:val="left"/>
      <w:pPr>
        <w:tabs>
          <w:tab w:val="num" w:pos="1440"/>
        </w:tabs>
        <w:ind w:left="1440" w:hanging="360"/>
      </w:pPr>
      <w:rPr>
        <w:rFonts w:ascii="Arial" w:hAnsi="Arial" w:hint="default"/>
      </w:rPr>
    </w:lvl>
    <w:lvl w:ilvl="2" w:tplc="6CCA124C" w:tentative="1">
      <w:start w:val="1"/>
      <w:numFmt w:val="bullet"/>
      <w:lvlText w:val="•"/>
      <w:lvlJc w:val="left"/>
      <w:pPr>
        <w:tabs>
          <w:tab w:val="num" w:pos="2160"/>
        </w:tabs>
        <w:ind w:left="2160" w:hanging="360"/>
      </w:pPr>
      <w:rPr>
        <w:rFonts w:ascii="Arial" w:hAnsi="Arial" w:hint="default"/>
      </w:rPr>
    </w:lvl>
    <w:lvl w:ilvl="3" w:tplc="64CA16C6" w:tentative="1">
      <w:start w:val="1"/>
      <w:numFmt w:val="bullet"/>
      <w:lvlText w:val="•"/>
      <w:lvlJc w:val="left"/>
      <w:pPr>
        <w:tabs>
          <w:tab w:val="num" w:pos="2880"/>
        </w:tabs>
        <w:ind w:left="2880" w:hanging="360"/>
      </w:pPr>
      <w:rPr>
        <w:rFonts w:ascii="Arial" w:hAnsi="Arial" w:hint="default"/>
      </w:rPr>
    </w:lvl>
    <w:lvl w:ilvl="4" w:tplc="20B66524" w:tentative="1">
      <w:start w:val="1"/>
      <w:numFmt w:val="bullet"/>
      <w:lvlText w:val="•"/>
      <w:lvlJc w:val="left"/>
      <w:pPr>
        <w:tabs>
          <w:tab w:val="num" w:pos="3600"/>
        </w:tabs>
        <w:ind w:left="3600" w:hanging="360"/>
      </w:pPr>
      <w:rPr>
        <w:rFonts w:ascii="Arial" w:hAnsi="Arial" w:hint="default"/>
      </w:rPr>
    </w:lvl>
    <w:lvl w:ilvl="5" w:tplc="78D64C9E" w:tentative="1">
      <w:start w:val="1"/>
      <w:numFmt w:val="bullet"/>
      <w:lvlText w:val="•"/>
      <w:lvlJc w:val="left"/>
      <w:pPr>
        <w:tabs>
          <w:tab w:val="num" w:pos="4320"/>
        </w:tabs>
        <w:ind w:left="4320" w:hanging="360"/>
      </w:pPr>
      <w:rPr>
        <w:rFonts w:ascii="Arial" w:hAnsi="Arial" w:hint="default"/>
      </w:rPr>
    </w:lvl>
    <w:lvl w:ilvl="6" w:tplc="DF846DFE" w:tentative="1">
      <w:start w:val="1"/>
      <w:numFmt w:val="bullet"/>
      <w:lvlText w:val="•"/>
      <w:lvlJc w:val="left"/>
      <w:pPr>
        <w:tabs>
          <w:tab w:val="num" w:pos="5040"/>
        </w:tabs>
        <w:ind w:left="5040" w:hanging="360"/>
      </w:pPr>
      <w:rPr>
        <w:rFonts w:ascii="Arial" w:hAnsi="Arial" w:hint="default"/>
      </w:rPr>
    </w:lvl>
    <w:lvl w:ilvl="7" w:tplc="4378C894" w:tentative="1">
      <w:start w:val="1"/>
      <w:numFmt w:val="bullet"/>
      <w:lvlText w:val="•"/>
      <w:lvlJc w:val="left"/>
      <w:pPr>
        <w:tabs>
          <w:tab w:val="num" w:pos="5760"/>
        </w:tabs>
        <w:ind w:left="5760" w:hanging="360"/>
      </w:pPr>
      <w:rPr>
        <w:rFonts w:ascii="Arial" w:hAnsi="Arial" w:hint="default"/>
      </w:rPr>
    </w:lvl>
    <w:lvl w:ilvl="8" w:tplc="56926F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E516464"/>
    <w:multiLevelType w:val="hybridMultilevel"/>
    <w:tmpl w:val="485098A8"/>
    <w:lvl w:ilvl="0" w:tplc="F266C668">
      <w:start w:val="1"/>
      <w:numFmt w:val="bullet"/>
      <w:lvlText w:val="•"/>
      <w:lvlJc w:val="left"/>
      <w:pPr>
        <w:tabs>
          <w:tab w:val="num" w:pos="720"/>
        </w:tabs>
        <w:ind w:left="720" w:hanging="360"/>
      </w:pPr>
      <w:rPr>
        <w:rFonts w:ascii="Arial" w:hAnsi="Arial" w:hint="default"/>
      </w:rPr>
    </w:lvl>
    <w:lvl w:ilvl="1" w:tplc="11E86314" w:tentative="1">
      <w:start w:val="1"/>
      <w:numFmt w:val="bullet"/>
      <w:lvlText w:val="•"/>
      <w:lvlJc w:val="left"/>
      <w:pPr>
        <w:tabs>
          <w:tab w:val="num" w:pos="1440"/>
        </w:tabs>
        <w:ind w:left="1440" w:hanging="360"/>
      </w:pPr>
      <w:rPr>
        <w:rFonts w:ascii="Arial" w:hAnsi="Arial" w:hint="default"/>
      </w:rPr>
    </w:lvl>
    <w:lvl w:ilvl="2" w:tplc="779ABBE8" w:tentative="1">
      <w:start w:val="1"/>
      <w:numFmt w:val="bullet"/>
      <w:lvlText w:val="•"/>
      <w:lvlJc w:val="left"/>
      <w:pPr>
        <w:tabs>
          <w:tab w:val="num" w:pos="2160"/>
        </w:tabs>
        <w:ind w:left="2160" w:hanging="360"/>
      </w:pPr>
      <w:rPr>
        <w:rFonts w:ascii="Arial" w:hAnsi="Arial" w:hint="default"/>
      </w:rPr>
    </w:lvl>
    <w:lvl w:ilvl="3" w:tplc="4CA47DE8" w:tentative="1">
      <w:start w:val="1"/>
      <w:numFmt w:val="bullet"/>
      <w:lvlText w:val="•"/>
      <w:lvlJc w:val="left"/>
      <w:pPr>
        <w:tabs>
          <w:tab w:val="num" w:pos="2880"/>
        </w:tabs>
        <w:ind w:left="2880" w:hanging="360"/>
      </w:pPr>
      <w:rPr>
        <w:rFonts w:ascii="Arial" w:hAnsi="Arial" w:hint="default"/>
      </w:rPr>
    </w:lvl>
    <w:lvl w:ilvl="4" w:tplc="C6E61D20" w:tentative="1">
      <w:start w:val="1"/>
      <w:numFmt w:val="bullet"/>
      <w:lvlText w:val="•"/>
      <w:lvlJc w:val="left"/>
      <w:pPr>
        <w:tabs>
          <w:tab w:val="num" w:pos="3600"/>
        </w:tabs>
        <w:ind w:left="3600" w:hanging="360"/>
      </w:pPr>
      <w:rPr>
        <w:rFonts w:ascii="Arial" w:hAnsi="Arial" w:hint="default"/>
      </w:rPr>
    </w:lvl>
    <w:lvl w:ilvl="5" w:tplc="C21C58FE" w:tentative="1">
      <w:start w:val="1"/>
      <w:numFmt w:val="bullet"/>
      <w:lvlText w:val="•"/>
      <w:lvlJc w:val="left"/>
      <w:pPr>
        <w:tabs>
          <w:tab w:val="num" w:pos="4320"/>
        </w:tabs>
        <w:ind w:left="4320" w:hanging="360"/>
      </w:pPr>
      <w:rPr>
        <w:rFonts w:ascii="Arial" w:hAnsi="Arial" w:hint="default"/>
      </w:rPr>
    </w:lvl>
    <w:lvl w:ilvl="6" w:tplc="807466FE" w:tentative="1">
      <w:start w:val="1"/>
      <w:numFmt w:val="bullet"/>
      <w:lvlText w:val="•"/>
      <w:lvlJc w:val="left"/>
      <w:pPr>
        <w:tabs>
          <w:tab w:val="num" w:pos="5040"/>
        </w:tabs>
        <w:ind w:left="5040" w:hanging="360"/>
      </w:pPr>
      <w:rPr>
        <w:rFonts w:ascii="Arial" w:hAnsi="Arial" w:hint="default"/>
      </w:rPr>
    </w:lvl>
    <w:lvl w:ilvl="7" w:tplc="84289282" w:tentative="1">
      <w:start w:val="1"/>
      <w:numFmt w:val="bullet"/>
      <w:lvlText w:val="•"/>
      <w:lvlJc w:val="left"/>
      <w:pPr>
        <w:tabs>
          <w:tab w:val="num" w:pos="5760"/>
        </w:tabs>
        <w:ind w:left="5760" w:hanging="360"/>
      </w:pPr>
      <w:rPr>
        <w:rFonts w:ascii="Arial" w:hAnsi="Arial" w:hint="default"/>
      </w:rPr>
    </w:lvl>
    <w:lvl w:ilvl="8" w:tplc="0B66B7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AC8030A"/>
    <w:multiLevelType w:val="hybridMultilevel"/>
    <w:tmpl w:val="9F282AAE"/>
    <w:lvl w:ilvl="0" w:tplc="A21E04DC">
      <w:start w:val="1"/>
      <w:numFmt w:val="lowerRoman"/>
      <w:lvlText w:val="%1)"/>
      <w:lvlJc w:val="right"/>
      <w:pPr>
        <w:tabs>
          <w:tab w:val="num" w:pos="720"/>
        </w:tabs>
        <w:ind w:left="720" w:hanging="360"/>
      </w:pPr>
    </w:lvl>
    <w:lvl w:ilvl="1" w:tplc="A46AFE96" w:tentative="1">
      <w:start w:val="1"/>
      <w:numFmt w:val="lowerRoman"/>
      <w:lvlText w:val="%2)"/>
      <w:lvlJc w:val="right"/>
      <w:pPr>
        <w:tabs>
          <w:tab w:val="num" w:pos="1440"/>
        </w:tabs>
        <w:ind w:left="1440" w:hanging="360"/>
      </w:pPr>
    </w:lvl>
    <w:lvl w:ilvl="2" w:tplc="726C02FC" w:tentative="1">
      <w:start w:val="1"/>
      <w:numFmt w:val="lowerRoman"/>
      <w:lvlText w:val="%3)"/>
      <w:lvlJc w:val="right"/>
      <w:pPr>
        <w:tabs>
          <w:tab w:val="num" w:pos="2160"/>
        </w:tabs>
        <w:ind w:left="2160" w:hanging="360"/>
      </w:pPr>
    </w:lvl>
    <w:lvl w:ilvl="3" w:tplc="F108504C" w:tentative="1">
      <w:start w:val="1"/>
      <w:numFmt w:val="lowerRoman"/>
      <w:lvlText w:val="%4)"/>
      <w:lvlJc w:val="right"/>
      <w:pPr>
        <w:tabs>
          <w:tab w:val="num" w:pos="2880"/>
        </w:tabs>
        <w:ind w:left="2880" w:hanging="360"/>
      </w:pPr>
    </w:lvl>
    <w:lvl w:ilvl="4" w:tplc="D4C8AE60" w:tentative="1">
      <w:start w:val="1"/>
      <w:numFmt w:val="lowerRoman"/>
      <w:lvlText w:val="%5)"/>
      <w:lvlJc w:val="right"/>
      <w:pPr>
        <w:tabs>
          <w:tab w:val="num" w:pos="3600"/>
        </w:tabs>
        <w:ind w:left="3600" w:hanging="360"/>
      </w:pPr>
    </w:lvl>
    <w:lvl w:ilvl="5" w:tplc="158ABCF8" w:tentative="1">
      <w:start w:val="1"/>
      <w:numFmt w:val="lowerRoman"/>
      <w:lvlText w:val="%6)"/>
      <w:lvlJc w:val="right"/>
      <w:pPr>
        <w:tabs>
          <w:tab w:val="num" w:pos="4320"/>
        </w:tabs>
        <w:ind w:left="4320" w:hanging="360"/>
      </w:pPr>
    </w:lvl>
    <w:lvl w:ilvl="6" w:tplc="191486CE" w:tentative="1">
      <w:start w:val="1"/>
      <w:numFmt w:val="lowerRoman"/>
      <w:lvlText w:val="%7)"/>
      <w:lvlJc w:val="right"/>
      <w:pPr>
        <w:tabs>
          <w:tab w:val="num" w:pos="5040"/>
        </w:tabs>
        <w:ind w:left="5040" w:hanging="360"/>
      </w:pPr>
    </w:lvl>
    <w:lvl w:ilvl="7" w:tplc="13FE362C" w:tentative="1">
      <w:start w:val="1"/>
      <w:numFmt w:val="lowerRoman"/>
      <w:lvlText w:val="%8)"/>
      <w:lvlJc w:val="right"/>
      <w:pPr>
        <w:tabs>
          <w:tab w:val="num" w:pos="5760"/>
        </w:tabs>
        <w:ind w:left="5760" w:hanging="360"/>
      </w:pPr>
    </w:lvl>
    <w:lvl w:ilvl="8" w:tplc="B60095A4" w:tentative="1">
      <w:start w:val="1"/>
      <w:numFmt w:val="lowerRoman"/>
      <w:lvlText w:val="%9)"/>
      <w:lvlJc w:val="right"/>
      <w:pPr>
        <w:tabs>
          <w:tab w:val="num" w:pos="6480"/>
        </w:tabs>
        <w:ind w:left="6480" w:hanging="360"/>
      </w:pPr>
    </w:lvl>
  </w:abstractNum>
  <w:abstractNum w:abstractNumId="4" w15:restartNumberingAfterBreak="0">
    <w:nsid w:val="5FA8085C"/>
    <w:multiLevelType w:val="hybridMultilevel"/>
    <w:tmpl w:val="D902A340"/>
    <w:lvl w:ilvl="0" w:tplc="47D4F318">
      <w:start w:val="1"/>
      <w:numFmt w:val="bullet"/>
      <w:lvlText w:val="-"/>
      <w:lvlJc w:val="left"/>
      <w:pPr>
        <w:tabs>
          <w:tab w:val="num" w:pos="720"/>
        </w:tabs>
        <w:ind w:left="720" w:hanging="360"/>
      </w:pPr>
      <w:rPr>
        <w:rFonts w:ascii="Times New Roman" w:hAnsi="Times New Roman" w:hint="default"/>
      </w:rPr>
    </w:lvl>
    <w:lvl w:ilvl="1" w:tplc="A9D60178" w:tentative="1">
      <w:start w:val="1"/>
      <w:numFmt w:val="bullet"/>
      <w:lvlText w:val="-"/>
      <w:lvlJc w:val="left"/>
      <w:pPr>
        <w:tabs>
          <w:tab w:val="num" w:pos="1440"/>
        </w:tabs>
        <w:ind w:left="1440" w:hanging="360"/>
      </w:pPr>
      <w:rPr>
        <w:rFonts w:ascii="Times New Roman" w:hAnsi="Times New Roman" w:hint="default"/>
      </w:rPr>
    </w:lvl>
    <w:lvl w:ilvl="2" w:tplc="B5389620" w:tentative="1">
      <w:start w:val="1"/>
      <w:numFmt w:val="bullet"/>
      <w:lvlText w:val="-"/>
      <w:lvlJc w:val="left"/>
      <w:pPr>
        <w:tabs>
          <w:tab w:val="num" w:pos="2160"/>
        </w:tabs>
        <w:ind w:left="2160" w:hanging="360"/>
      </w:pPr>
      <w:rPr>
        <w:rFonts w:ascii="Times New Roman" w:hAnsi="Times New Roman" w:hint="default"/>
      </w:rPr>
    </w:lvl>
    <w:lvl w:ilvl="3" w:tplc="CF1C1B78" w:tentative="1">
      <w:start w:val="1"/>
      <w:numFmt w:val="bullet"/>
      <w:lvlText w:val="-"/>
      <w:lvlJc w:val="left"/>
      <w:pPr>
        <w:tabs>
          <w:tab w:val="num" w:pos="2880"/>
        </w:tabs>
        <w:ind w:left="2880" w:hanging="360"/>
      </w:pPr>
      <w:rPr>
        <w:rFonts w:ascii="Times New Roman" w:hAnsi="Times New Roman" w:hint="default"/>
      </w:rPr>
    </w:lvl>
    <w:lvl w:ilvl="4" w:tplc="0B7CE7E8" w:tentative="1">
      <w:start w:val="1"/>
      <w:numFmt w:val="bullet"/>
      <w:lvlText w:val="-"/>
      <w:lvlJc w:val="left"/>
      <w:pPr>
        <w:tabs>
          <w:tab w:val="num" w:pos="3600"/>
        </w:tabs>
        <w:ind w:left="3600" w:hanging="360"/>
      </w:pPr>
      <w:rPr>
        <w:rFonts w:ascii="Times New Roman" w:hAnsi="Times New Roman" w:hint="default"/>
      </w:rPr>
    </w:lvl>
    <w:lvl w:ilvl="5" w:tplc="4C7A48A4" w:tentative="1">
      <w:start w:val="1"/>
      <w:numFmt w:val="bullet"/>
      <w:lvlText w:val="-"/>
      <w:lvlJc w:val="left"/>
      <w:pPr>
        <w:tabs>
          <w:tab w:val="num" w:pos="4320"/>
        </w:tabs>
        <w:ind w:left="4320" w:hanging="360"/>
      </w:pPr>
      <w:rPr>
        <w:rFonts w:ascii="Times New Roman" w:hAnsi="Times New Roman" w:hint="default"/>
      </w:rPr>
    </w:lvl>
    <w:lvl w:ilvl="6" w:tplc="453C9138" w:tentative="1">
      <w:start w:val="1"/>
      <w:numFmt w:val="bullet"/>
      <w:lvlText w:val="-"/>
      <w:lvlJc w:val="left"/>
      <w:pPr>
        <w:tabs>
          <w:tab w:val="num" w:pos="5040"/>
        </w:tabs>
        <w:ind w:left="5040" w:hanging="360"/>
      </w:pPr>
      <w:rPr>
        <w:rFonts w:ascii="Times New Roman" w:hAnsi="Times New Roman" w:hint="default"/>
      </w:rPr>
    </w:lvl>
    <w:lvl w:ilvl="7" w:tplc="A76A201A" w:tentative="1">
      <w:start w:val="1"/>
      <w:numFmt w:val="bullet"/>
      <w:lvlText w:val="-"/>
      <w:lvlJc w:val="left"/>
      <w:pPr>
        <w:tabs>
          <w:tab w:val="num" w:pos="5760"/>
        </w:tabs>
        <w:ind w:left="5760" w:hanging="360"/>
      </w:pPr>
      <w:rPr>
        <w:rFonts w:ascii="Times New Roman" w:hAnsi="Times New Roman" w:hint="default"/>
      </w:rPr>
    </w:lvl>
    <w:lvl w:ilvl="8" w:tplc="0A9EADD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30503DB"/>
    <w:multiLevelType w:val="hybridMultilevel"/>
    <w:tmpl w:val="187CAC5E"/>
    <w:lvl w:ilvl="0" w:tplc="271000BC">
      <w:start w:val="1"/>
      <w:numFmt w:val="bullet"/>
      <w:lvlText w:val="•"/>
      <w:lvlJc w:val="left"/>
      <w:pPr>
        <w:tabs>
          <w:tab w:val="num" w:pos="720"/>
        </w:tabs>
        <w:ind w:left="720" w:hanging="360"/>
      </w:pPr>
      <w:rPr>
        <w:rFonts w:ascii="Arial" w:hAnsi="Arial" w:hint="default"/>
      </w:rPr>
    </w:lvl>
    <w:lvl w:ilvl="1" w:tplc="7FC663D2" w:tentative="1">
      <w:start w:val="1"/>
      <w:numFmt w:val="bullet"/>
      <w:lvlText w:val="•"/>
      <w:lvlJc w:val="left"/>
      <w:pPr>
        <w:tabs>
          <w:tab w:val="num" w:pos="1440"/>
        </w:tabs>
        <w:ind w:left="1440" w:hanging="360"/>
      </w:pPr>
      <w:rPr>
        <w:rFonts w:ascii="Arial" w:hAnsi="Arial" w:hint="default"/>
      </w:rPr>
    </w:lvl>
    <w:lvl w:ilvl="2" w:tplc="046018F4" w:tentative="1">
      <w:start w:val="1"/>
      <w:numFmt w:val="bullet"/>
      <w:lvlText w:val="•"/>
      <w:lvlJc w:val="left"/>
      <w:pPr>
        <w:tabs>
          <w:tab w:val="num" w:pos="2160"/>
        </w:tabs>
        <w:ind w:left="2160" w:hanging="360"/>
      </w:pPr>
      <w:rPr>
        <w:rFonts w:ascii="Arial" w:hAnsi="Arial" w:hint="default"/>
      </w:rPr>
    </w:lvl>
    <w:lvl w:ilvl="3" w:tplc="C708F9E0" w:tentative="1">
      <w:start w:val="1"/>
      <w:numFmt w:val="bullet"/>
      <w:lvlText w:val="•"/>
      <w:lvlJc w:val="left"/>
      <w:pPr>
        <w:tabs>
          <w:tab w:val="num" w:pos="2880"/>
        </w:tabs>
        <w:ind w:left="2880" w:hanging="360"/>
      </w:pPr>
      <w:rPr>
        <w:rFonts w:ascii="Arial" w:hAnsi="Arial" w:hint="default"/>
      </w:rPr>
    </w:lvl>
    <w:lvl w:ilvl="4" w:tplc="AF421446" w:tentative="1">
      <w:start w:val="1"/>
      <w:numFmt w:val="bullet"/>
      <w:lvlText w:val="•"/>
      <w:lvlJc w:val="left"/>
      <w:pPr>
        <w:tabs>
          <w:tab w:val="num" w:pos="3600"/>
        </w:tabs>
        <w:ind w:left="3600" w:hanging="360"/>
      </w:pPr>
      <w:rPr>
        <w:rFonts w:ascii="Arial" w:hAnsi="Arial" w:hint="default"/>
      </w:rPr>
    </w:lvl>
    <w:lvl w:ilvl="5" w:tplc="11DC9C1C" w:tentative="1">
      <w:start w:val="1"/>
      <w:numFmt w:val="bullet"/>
      <w:lvlText w:val="•"/>
      <w:lvlJc w:val="left"/>
      <w:pPr>
        <w:tabs>
          <w:tab w:val="num" w:pos="4320"/>
        </w:tabs>
        <w:ind w:left="4320" w:hanging="360"/>
      </w:pPr>
      <w:rPr>
        <w:rFonts w:ascii="Arial" w:hAnsi="Arial" w:hint="default"/>
      </w:rPr>
    </w:lvl>
    <w:lvl w:ilvl="6" w:tplc="47A269BE" w:tentative="1">
      <w:start w:val="1"/>
      <w:numFmt w:val="bullet"/>
      <w:lvlText w:val="•"/>
      <w:lvlJc w:val="left"/>
      <w:pPr>
        <w:tabs>
          <w:tab w:val="num" w:pos="5040"/>
        </w:tabs>
        <w:ind w:left="5040" w:hanging="360"/>
      </w:pPr>
      <w:rPr>
        <w:rFonts w:ascii="Arial" w:hAnsi="Arial" w:hint="default"/>
      </w:rPr>
    </w:lvl>
    <w:lvl w:ilvl="7" w:tplc="237CC706" w:tentative="1">
      <w:start w:val="1"/>
      <w:numFmt w:val="bullet"/>
      <w:lvlText w:val="•"/>
      <w:lvlJc w:val="left"/>
      <w:pPr>
        <w:tabs>
          <w:tab w:val="num" w:pos="5760"/>
        </w:tabs>
        <w:ind w:left="5760" w:hanging="360"/>
      </w:pPr>
      <w:rPr>
        <w:rFonts w:ascii="Arial" w:hAnsi="Arial" w:hint="default"/>
      </w:rPr>
    </w:lvl>
    <w:lvl w:ilvl="8" w:tplc="B624165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6DF"/>
    <w:rsid w:val="00354F0F"/>
    <w:rsid w:val="003C18F5"/>
    <w:rsid w:val="00627771"/>
    <w:rsid w:val="00B026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B7C67-E2AC-4393-90CE-4D99C51F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026D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B026DF"/>
    <w:rPr>
      <w:color w:val="0000FF"/>
      <w:u w:val="single"/>
    </w:rPr>
  </w:style>
  <w:style w:type="paragraph" w:styleId="PargrafodaLista">
    <w:name w:val="List Paragraph"/>
    <w:basedOn w:val="Normal"/>
    <w:uiPriority w:val="34"/>
    <w:qFormat/>
    <w:rsid w:val="003C18F5"/>
    <w:pPr>
      <w:spacing w:after="0" w:line="240" w:lineRule="auto"/>
      <w:ind w:left="720"/>
      <w:contextualSpacing/>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01155">
      <w:bodyDiv w:val="1"/>
      <w:marLeft w:val="0"/>
      <w:marRight w:val="0"/>
      <w:marTop w:val="0"/>
      <w:marBottom w:val="0"/>
      <w:divBdr>
        <w:top w:val="none" w:sz="0" w:space="0" w:color="auto"/>
        <w:left w:val="none" w:sz="0" w:space="0" w:color="auto"/>
        <w:bottom w:val="none" w:sz="0" w:space="0" w:color="auto"/>
        <w:right w:val="none" w:sz="0" w:space="0" w:color="auto"/>
      </w:divBdr>
    </w:div>
    <w:div w:id="105344981">
      <w:bodyDiv w:val="1"/>
      <w:marLeft w:val="0"/>
      <w:marRight w:val="0"/>
      <w:marTop w:val="0"/>
      <w:marBottom w:val="0"/>
      <w:divBdr>
        <w:top w:val="none" w:sz="0" w:space="0" w:color="auto"/>
        <w:left w:val="none" w:sz="0" w:space="0" w:color="auto"/>
        <w:bottom w:val="none" w:sz="0" w:space="0" w:color="auto"/>
        <w:right w:val="none" w:sz="0" w:space="0" w:color="auto"/>
      </w:divBdr>
    </w:div>
    <w:div w:id="396562386">
      <w:bodyDiv w:val="1"/>
      <w:marLeft w:val="0"/>
      <w:marRight w:val="0"/>
      <w:marTop w:val="0"/>
      <w:marBottom w:val="0"/>
      <w:divBdr>
        <w:top w:val="none" w:sz="0" w:space="0" w:color="auto"/>
        <w:left w:val="none" w:sz="0" w:space="0" w:color="auto"/>
        <w:bottom w:val="none" w:sz="0" w:space="0" w:color="auto"/>
        <w:right w:val="none" w:sz="0" w:space="0" w:color="auto"/>
      </w:divBdr>
    </w:div>
    <w:div w:id="473565844">
      <w:bodyDiv w:val="1"/>
      <w:marLeft w:val="0"/>
      <w:marRight w:val="0"/>
      <w:marTop w:val="0"/>
      <w:marBottom w:val="0"/>
      <w:divBdr>
        <w:top w:val="none" w:sz="0" w:space="0" w:color="auto"/>
        <w:left w:val="none" w:sz="0" w:space="0" w:color="auto"/>
        <w:bottom w:val="none" w:sz="0" w:space="0" w:color="auto"/>
        <w:right w:val="none" w:sz="0" w:space="0" w:color="auto"/>
      </w:divBdr>
    </w:div>
    <w:div w:id="529153008">
      <w:bodyDiv w:val="1"/>
      <w:marLeft w:val="0"/>
      <w:marRight w:val="0"/>
      <w:marTop w:val="0"/>
      <w:marBottom w:val="0"/>
      <w:divBdr>
        <w:top w:val="none" w:sz="0" w:space="0" w:color="auto"/>
        <w:left w:val="none" w:sz="0" w:space="0" w:color="auto"/>
        <w:bottom w:val="none" w:sz="0" w:space="0" w:color="auto"/>
        <w:right w:val="none" w:sz="0" w:space="0" w:color="auto"/>
      </w:divBdr>
      <w:divsChild>
        <w:div w:id="1328288918">
          <w:marLeft w:val="446"/>
          <w:marRight w:val="0"/>
          <w:marTop w:val="0"/>
          <w:marBottom w:val="160"/>
          <w:divBdr>
            <w:top w:val="none" w:sz="0" w:space="0" w:color="auto"/>
            <w:left w:val="none" w:sz="0" w:space="0" w:color="auto"/>
            <w:bottom w:val="none" w:sz="0" w:space="0" w:color="auto"/>
            <w:right w:val="none" w:sz="0" w:space="0" w:color="auto"/>
          </w:divBdr>
        </w:div>
        <w:div w:id="1811512970">
          <w:marLeft w:val="446"/>
          <w:marRight w:val="0"/>
          <w:marTop w:val="0"/>
          <w:marBottom w:val="160"/>
          <w:divBdr>
            <w:top w:val="none" w:sz="0" w:space="0" w:color="auto"/>
            <w:left w:val="none" w:sz="0" w:space="0" w:color="auto"/>
            <w:bottom w:val="none" w:sz="0" w:space="0" w:color="auto"/>
            <w:right w:val="none" w:sz="0" w:space="0" w:color="auto"/>
          </w:divBdr>
        </w:div>
      </w:divsChild>
    </w:div>
    <w:div w:id="715084959">
      <w:bodyDiv w:val="1"/>
      <w:marLeft w:val="0"/>
      <w:marRight w:val="0"/>
      <w:marTop w:val="0"/>
      <w:marBottom w:val="0"/>
      <w:divBdr>
        <w:top w:val="none" w:sz="0" w:space="0" w:color="auto"/>
        <w:left w:val="none" w:sz="0" w:space="0" w:color="auto"/>
        <w:bottom w:val="none" w:sz="0" w:space="0" w:color="auto"/>
        <w:right w:val="none" w:sz="0" w:space="0" w:color="auto"/>
      </w:divBdr>
    </w:div>
    <w:div w:id="718094808">
      <w:bodyDiv w:val="1"/>
      <w:marLeft w:val="0"/>
      <w:marRight w:val="0"/>
      <w:marTop w:val="0"/>
      <w:marBottom w:val="0"/>
      <w:divBdr>
        <w:top w:val="none" w:sz="0" w:space="0" w:color="auto"/>
        <w:left w:val="none" w:sz="0" w:space="0" w:color="auto"/>
        <w:bottom w:val="none" w:sz="0" w:space="0" w:color="auto"/>
        <w:right w:val="none" w:sz="0" w:space="0" w:color="auto"/>
      </w:divBdr>
      <w:divsChild>
        <w:div w:id="556669632">
          <w:marLeft w:val="446"/>
          <w:marRight w:val="0"/>
          <w:marTop w:val="0"/>
          <w:marBottom w:val="0"/>
          <w:divBdr>
            <w:top w:val="none" w:sz="0" w:space="0" w:color="auto"/>
            <w:left w:val="none" w:sz="0" w:space="0" w:color="auto"/>
            <w:bottom w:val="none" w:sz="0" w:space="0" w:color="auto"/>
            <w:right w:val="none" w:sz="0" w:space="0" w:color="auto"/>
          </w:divBdr>
        </w:div>
        <w:div w:id="574051896">
          <w:marLeft w:val="446"/>
          <w:marRight w:val="0"/>
          <w:marTop w:val="0"/>
          <w:marBottom w:val="0"/>
          <w:divBdr>
            <w:top w:val="none" w:sz="0" w:space="0" w:color="auto"/>
            <w:left w:val="none" w:sz="0" w:space="0" w:color="auto"/>
            <w:bottom w:val="none" w:sz="0" w:space="0" w:color="auto"/>
            <w:right w:val="none" w:sz="0" w:space="0" w:color="auto"/>
          </w:divBdr>
        </w:div>
        <w:div w:id="1100182465">
          <w:marLeft w:val="446"/>
          <w:marRight w:val="0"/>
          <w:marTop w:val="0"/>
          <w:marBottom w:val="0"/>
          <w:divBdr>
            <w:top w:val="none" w:sz="0" w:space="0" w:color="auto"/>
            <w:left w:val="none" w:sz="0" w:space="0" w:color="auto"/>
            <w:bottom w:val="none" w:sz="0" w:space="0" w:color="auto"/>
            <w:right w:val="none" w:sz="0" w:space="0" w:color="auto"/>
          </w:divBdr>
        </w:div>
        <w:div w:id="1372607895">
          <w:marLeft w:val="446"/>
          <w:marRight w:val="0"/>
          <w:marTop w:val="0"/>
          <w:marBottom w:val="0"/>
          <w:divBdr>
            <w:top w:val="none" w:sz="0" w:space="0" w:color="auto"/>
            <w:left w:val="none" w:sz="0" w:space="0" w:color="auto"/>
            <w:bottom w:val="none" w:sz="0" w:space="0" w:color="auto"/>
            <w:right w:val="none" w:sz="0" w:space="0" w:color="auto"/>
          </w:divBdr>
        </w:div>
      </w:divsChild>
    </w:div>
    <w:div w:id="818113455">
      <w:bodyDiv w:val="1"/>
      <w:marLeft w:val="0"/>
      <w:marRight w:val="0"/>
      <w:marTop w:val="0"/>
      <w:marBottom w:val="0"/>
      <w:divBdr>
        <w:top w:val="none" w:sz="0" w:space="0" w:color="auto"/>
        <w:left w:val="none" w:sz="0" w:space="0" w:color="auto"/>
        <w:bottom w:val="none" w:sz="0" w:space="0" w:color="auto"/>
        <w:right w:val="none" w:sz="0" w:space="0" w:color="auto"/>
      </w:divBdr>
      <w:divsChild>
        <w:div w:id="1912695958">
          <w:marLeft w:val="446"/>
          <w:marRight w:val="0"/>
          <w:marTop w:val="0"/>
          <w:marBottom w:val="0"/>
          <w:divBdr>
            <w:top w:val="none" w:sz="0" w:space="0" w:color="auto"/>
            <w:left w:val="none" w:sz="0" w:space="0" w:color="auto"/>
            <w:bottom w:val="none" w:sz="0" w:space="0" w:color="auto"/>
            <w:right w:val="none" w:sz="0" w:space="0" w:color="auto"/>
          </w:divBdr>
        </w:div>
        <w:div w:id="1314717852">
          <w:marLeft w:val="446"/>
          <w:marRight w:val="0"/>
          <w:marTop w:val="0"/>
          <w:marBottom w:val="0"/>
          <w:divBdr>
            <w:top w:val="none" w:sz="0" w:space="0" w:color="auto"/>
            <w:left w:val="none" w:sz="0" w:space="0" w:color="auto"/>
            <w:bottom w:val="none" w:sz="0" w:space="0" w:color="auto"/>
            <w:right w:val="none" w:sz="0" w:space="0" w:color="auto"/>
          </w:divBdr>
        </w:div>
        <w:div w:id="45297764">
          <w:marLeft w:val="446"/>
          <w:marRight w:val="0"/>
          <w:marTop w:val="0"/>
          <w:marBottom w:val="0"/>
          <w:divBdr>
            <w:top w:val="none" w:sz="0" w:space="0" w:color="auto"/>
            <w:left w:val="none" w:sz="0" w:space="0" w:color="auto"/>
            <w:bottom w:val="none" w:sz="0" w:space="0" w:color="auto"/>
            <w:right w:val="none" w:sz="0" w:space="0" w:color="auto"/>
          </w:divBdr>
        </w:div>
        <w:div w:id="1250230894">
          <w:marLeft w:val="446"/>
          <w:marRight w:val="0"/>
          <w:marTop w:val="0"/>
          <w:marBottom w:val="0"/>
          <w:divBdr>
            <w:top w:val="none" w:sz="0" w:space="0" w:color="auto"/>
            <w:left w:val="none" w:sz="0" w:space="0" w:color="auto"/>
            <w:bottom w:val="none" w:sz="0" w:space="0" w:color="auto"/>
            <w:right w:val="none" w:sz="0" w:space="0" w:color="auto"/>
          </w:divBdr>
        </w:div>
      </w:divsChild>
    </w:div>
    <w:div w:id="940383104">
      <w:bodyDiv w:val="1"/>
      <w:marLeft w:val="0"/>
      <w:marRight w:val="0"/>
      <w:marTop w:val="0"/>
      <w:marBottom w:val="0"/>
      <w:divBdr>
        <w:top w:val="none" w:sz="0" w:space="0" w:color="auto"/>
        <w:left w:val="none" w:sz="0" w:space="0" w:color="auto"/>
        <w:bottom w:val="none" w:sz="0" w:space="0" w:color="auto"/>
        <w:right w:val="none" w:sz="0" w:space="0" w:color="auto"/>
      </w:divBdr>
    </w:div>
    <w:div w:id="944843265">
      <w:bodyDiv w:val="1"/>
      <w:marLeft w:val="0"/>
      <w:marRight w:val="0"/>
      <w:marTop w:val="0"/>
      <w:marBottom w:val="0"/>
      <w:divBdr>
        <w:top w:val="none" w:sz="0" w:space="0" w:color="auto"/>
        <w:left w:val="none" w:sz="0" w:space="0" w:color="auto"/>
        <w:bottom w:val="none" w:sz="0" w:space="0" w:color="auto"/>
        <w:right w:val="none" w:sz="0" w:space="0" w:color="auto"/>
      </w:divBdr>
      <w:divsChild>
        <w:div w:id="312494607">
          <w:marLeft w:val="446"/>
          <w:marRight w:val="0"/>
          <w:marTop w:val="200"/>
          <w:marBottom w:val="0"/>
          <w:divBdr>
            <w:top w:val="none" w:sz="0" w:space="0" w:color="auto"/>
            <w:left w:val="none" w:sz="0" w:space="0" w:color="auto"/>
            <w:bottom w:val="none" w:sz="0" w:space="0" w:color="auto"/>
            <w:right w:val="none" w:sz="0" w:space="0" w:color="auto"/>
          </w:divBdr>
        </w:div>
        <w:div w:id="1742676056">
          <w:marLeft w:val="446"/>
          <w:marRight w:val="0"/>
          <w:marTop w:val="200"/>
          <w:marBottom w:val="0"/>
          <w:divBdr>
            <w:top w:val="none" w:sz="0" w:space="0" w:color="auto"/>
            <w:left w:val="none" w:sz="0" w:space="0" w:color="auto"/>
            <w:bottom w:val="none" w:sz="0" w:space="0" w:color="auto"/>
            <w:right w:val="none" w:sz="0" w:space="0" w:color="auto"/>
          </w:divBdr>
        </w:div>
        <w:div w:id="1308515446">
          <w:marLeft w:val="446"/>
          <w:marRight w:val="0"/>
          <w:marTop w:val="200"/>
          <w:marBottom w:val="0"/>
          <w:divBdr>
            <w:top w:val="none" w:sz="0" w:space="0" w:color="auto"/>
            <w:left w:val="none" w:sz="0" w:space="0" w:color="auto"/>
            <w:bottom w:val="none" w:sz="0" w:space="0" w:color="auto"/>
            <w:right w:val="none" w:sz="0" w:space="0" w:color="auto"/>
          </w:divBdr>
        </w:div>
        <w:div w:id="609895925">
          <w:marLeft w:val="446"/>
          <w:marRight w:val="0"/>
          <w:marTop w:val="200"/>
          <w:marBottom w:val="0"/>
          <w:divBdr>
            <w:top w:val="none" w:sz="0" w:space="0" w:color="auto"/>
            <w:left w:val="none" w:sz="0" w:space="0" w:color="auto"/>
            <w:bottom w:val="none" w:sz="0" w:space="0" w:color="auto"/>
            <w:right w:val="none" w:sz="0" w:space="0" w:color="auto"/>
          </w:divBdr>
        </w:div>
        <w:div w:id="1028338071">
          <w:marLeft w:val="446"/>
          <w:marRight w:val="0"/>
          <w:marTop w:val="200"/>
          <w:marBottom w:val="0"/>
          <w:divBdr>
            <w:top w:val="none" w:sz="0" w:space="0" w:color="auto"/>
            <w:left w:val="none" w:sz="0" w:space="0" w:color="auto"/>
            <w:bottom w:val="none" w:sz="0" w:space="0" w:color="auto"/>
            <w:right w:val="none" w:sz="0" w:space="0" w:color="auto"/>
          </w:divBdr>
        </w:div>
        <w:div w:id="1856729574">
          <w:marLeft w:val="446"/>
          <w:marRight w:val="0"/>
          <w:marTop w:val="200"/>
          <w:marBottom w:val="0"/>
          <w:divBdr>
            <w:top w:val="none" w:sz="0" w:space="0" w:color="auto"/>
            <w:left w:val="none" w:sz="0" w:space="0" w:color="auto"/>
            <w:bottom w:val="none" w:sz="0" w:space="0" w:color="auto"/>
            <w:right w:val="none" w:sz="0" w:space="0" w:color="auto"/>
          </w:divBdr>
        </w:div>
      </w:divsChild>
    </w:div>
    <w:div w:id="1062019276">
      <w:bodyDiv w:val="1"/>
      <w:marLeft w:val="0"/>
      <w:marRight w:val="0"/>
      <w:marTop w:val="0"/>
      <w:marBottom w:val="0"/>
      <w:divBdr>
        <w:top w:val="none" w:sz="0" w:space="0" w:color="auto"/>
        <w:left w:val="none" w:sz="0" w:space="0" w:color="auto"/>
        <w:bottom w:val="none" w:sz="0" w:space="0" w:color="auto"/>
        <w:right w:val="none" w:sz="0" w:space="0" w:color="auto"/>
      </w:divBdr>
    </w:div>
    <w:div w:id="1244492616">
      <w:bodyDiv w:val="1"/>
      <w:marLeft w:val="0"/>
      <w:marRight w:val="0"/>
      <w:marTop w:val="0"/>
      <w:marBottom w:val="0"/>
      <w:divBdr>
        <w:top w:val="none" w:sz="0" w:space="0" w:color="auto"/>
        <w:left w:val="none" w:sz="0" w:space="0" w:color="auto"/>
        <w:bottom w:val="none" w:sz="0" w:space="0" w:color="auto"/>
        <w:right w:val="none" w:sz="0" w:space="0" w:color="auto"/>
      </w:divBdr>
    </w:div>
    <w:div w:id="1946572804">
      <w:bodyDiv w:val="1"/>
      <w:marLeft w:val="0"/>
      <w:marRight w:val="0"/>
      <w:marTop w:val="0"/>
      <w:marBottom w:val="0"/>
      <w:divBdr>
        <w:top w:val="none" w:sz="0" w:space="0" w:color="auto"/>
        <w:left w:val="none" w:sz="0" w:space="0" w:color="auto"/>
        <w:bottom w:val="none" w:sz="0" w:space="0" w:color="auto"/>
        <w:right w:val="none" w:sz="0" w:space="0" w:color="auto"/>
      </w:divBdr>
      <w:divsChild>
        <w:div w:id="1370569550">
          <w:marLeft w:val="634"/>
          <w:marRight w:val="0"/>
          <w:marTop w:val="0"/>
          <w:marBottom w:val="0"/>
          <w:divBdr>
            <w:top w:val="none" w:sz="0" w:space="0" w:color="auto"/>
            <w:left w:val="none" w:sz="0" w:space="0" w:color="auto"/>
            <w:bottom w:val="none" w:sz="0" w:space="0" w:color="auto"/>
            <w:right w:val="none" w:sz="0" w:space="0" w:color="auto"/>
          </w:divBdr>
        </w:div>
        <w:div w:id="1920941046">
          <w:marLeft w:val="634"/>
          <w:marRight w:val="0"/>
          <w:marTop w:val="0"/>
          <w:marBottom w:val="0"/>
          <w:divBdr>
            <w:top w:val="none" w:sz="0" w:space="0" w:color="auto"/>
            <w:left w:val="none" w:sz="0" w:space="0" w:color="auto"/>
            <w:bottom w:val="none" w:sz="0" w:space="0" w:color="auto"/>
            <w:right w:val="none" w:sz="0" w:space="0" w:color="auto"/>
          </w:divBdr>
        </w:div>
        <w:div w:id="174661043">
          <w:marLeft w:val="63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squisa.apps.tcu.gov.br/" TargetMode="External"/><Relationship Id="rId5" Type="http://schemas.openxmlformats.org/officeDocument/2006/relationships/hyperlink" Target="https://pesquisa.apps.tcu.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2450</Words>
  <Characters>13233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Pinheiro Silva</dc:creator>
  <cp:keywords/>
  <dc:description/>
  <cp:lastModifiedBy>Carla Pinheiro Silva</cp:lastModifiedBy>
  <cp:revision>1</cp:revision>
  <dcterms:created xsi:type="dcterms:W3CDTF">2022-09-12T18:39:00Z</dcterms:created>
  <dcterms:modified xsi:type="dcterms:W3CDTF">2022-09-12T19:09:00Z</dcterms:modified>
</cp:coreProperties>
</file>