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2AB9" w14:textId="79BB33EA" w:rsidR="00FB4AA6" w:rsidRDefault="00FB4AA6"/>
    <w:p w14:paraId="7D4DB5D6" w14:textId="77777777" w:rsidR="00FB4AA6" w:rsidRPr="00FB4AA6" w:rsidRDefault="00FB4AA6" w:rsidP="00FB4AA6">
      <w:pPr>
        <w:spacing w:after="0" w:line="630" w:lineRule="atLeast"/>
        <w:textAlignment w:val="baseline"/>
        <w:outlineLvl w:val="1"/>
        <w:rPr>
          <w:rFonts w:ascii="Arial" w:eastAsia="Times New Roman" w:hAnsi="Arial" w:cs="Arial"/>
          <w:color w:val="2D3964"/>
          <w:sz w:val="57"/>
          <w:szCs w:val="57"/>
          <w:lang w:eastAsia="pt-BR"/>
        </w:rPr>
      </w:pPr>
      <w:r w:rsidRPr="00FB4AA6">
        <w:rPr>
          <w:rFonts w:ascii="Arial" w:eastAsia="Times New Roman" w:hAnsi="Arial" w:cs="Arial"/>
          <w:color w:val="BEBEBE"/>
          <w:sz w:val="57"/>
          <w:szCs w:val="57"/>
          <w:bdr w:val="none" w:sz="0" w:space="0" w:color="auto" w:frame="1"/>
          <w:lang w:eastAsia="pt-BR"/>
        </w:rPr>
        <w:t xml:space="preserve">01 </w:t>
      </w:r>
      <w:proofErr w:type="spellStart"/>
      <w:r w:rsidRPr="00FB4AA6">
        <w:rPr>
          <w:rFonts w:ascii="Arial" w:eastAsia="Times New Roman" w:hAnsi="Arial" w:cs="Arial"/>
          <w:color w:val="BEBEBE"/>
          <w:sz w:val="57"/>
          <w:szCs w:val="57"/>
          <w:bdr w:val="none" w:sz="0" w:space="0" w:color="auto" w:frame="1"/>
          <w:lang w:eastAsia="pt-BR"/>
        </w:rPr>
        <w:t>jul</w:t>
      </w:r>
      <w:proofErr w:type="spellEnd"/>
      <w:r w:rsidRPr="00FB4AA6">
        <w:rPr>
          <w:rFonts w:ascii="Arial" w:eastAsia="Times New Roman" w:hAnsi="Arial" w:cs="Arial"/>
          <w:color w:val="2D3964"/>
          <w:sz w:val="57"/>
          <w:szCs w:val="57"/>
          <w:lang w:eastAsia="pt-BR"/>
        </w:rPr>
        <w:t> Julgamento sobre competência do TCU para determinar a indisponibilidade de bens de particulares é suspenso</w:t>
      </w:r>
    </w:p>
    <w:p w14:paraId="2945BD4B" w14:textId="77777777" w:rsidR="00FB4AA6" w:rsidRPr="00FB4AA6" w:rsidRDefault="00FB4AA6" w:rsidP="00FB4AA6">
      <w:pPr>
        <w:spacing w:after="330" w:line="390" w:lineRule="atLeast"/>
        <w:textAlignment w:val="baseline"/>
        <w:rPr>
          <w:rFonts w:ascii="Arial" w:eastAsia="Times New Roman" w:hAnsi="Arial" w:cs="Arial"/>
          <w:color w:val="879097"/>
          <w:sz w:val="23"/>
          <w:szCs w:val="23"/>
          <w:lang w:eastAsia="pt-BR"/>
        </w:rPr>
      </w:pPr>
      <w:r w:rsidRPr="00FB4AA6">
        <w:rPr>
          <w:rFonts w:ascii="Arial" w:eastAsia="Times New Roman" w:hAnsi="Arial" w:cs="Arial"/>
          <w:color w:val="879097"/>
          <w:sz w:val="23"/>
          <w:szCs w:val="23"/>
          <w:lang w:eastAsia="pt-BR"/>
        </w:rPr>
        <w:t> </w:t>
      </w:r>
    </w:p>
    <w:p w14:paraId="737BA51C" w14:textId="77777777" w:rsidR="00FB4AA6" w:rsidRPr="00FB4AA6" w:rsidRDefault="00FB4AA6" w:rsidP="00FB4AA6">
      <w:pPr>
        <w:spacing w:after="330" w:line="390" w:lineRule="atLeast"/>
        <w:textAlignment w:val="baseline"/>
        <w:rPr>
          <w:rFonts w:ascii="Arial" w:eastAsia="Times New Roman" w:hAnsi="Arial" w:cs="Arial"/>
          <w:color w:val="879097"/>
          <w:sz w:val="23"/>
          <w:szCs w:val="23"/>
          <w:lang w:eastAsia="pt-BR"/>
        </w:rPr>
      </w:pPr>
      <w:r w:rsidRPr="00FB4AA6">
        <w:rPr>
          <w:rFonts w:ascii="Arial" w:eastAsia="Times New Roman" w:hAnsi="Arial" w:cs="Arial"/>
          <w:color w:val="879097"/>
          <w:sz w:val="23"/>
          <w:szCs w:val="23"/>
          <w:lang w:eastAsia="pt-BR"/>
        </w:rPr>
        <w:t>Na última quinta-feira (25/06), o Plenário do Supremo Tribunal Federal – STF iniciou o julgamento do Mandado de Segurança – MS nº 35506 no qual uma empresa pede a cassação de decisão proferida pelo Tribunal de Contas da União – TCU que decretou a indisponibilidade de seus bens e ativos, em montante equivalente a R$ 653 milhões, bem como a desconsideração da personalidade jurídica.</w:t>
      </w:r>
    </w:p>
    <w:p w14:paraId="697A0C38" w14:textId="77777777" w:rsidR="00FB4AA6" w:rsidRPr="00FB4AA6" w:rsidRDefault="00FB4AA6" w:rsidP="00FB4AA6">
      <w:pPr>
        <w:spacing w:after="330" w:line="390" w:lineRule="atLeast"/>
        <w:textAlignment w:val="baseline"/>
        <w:rPr>
          <w:rFonts w:ascii="Arial" w:eastAsia="Times New Roman" w:hAnsi="Arial" w:cs="Arial"/>
          <w:color w:val="879097"/>
          <w:sz w:val="23"/>
          <w:szCs w:val="23"/>
          <w:lang w:eastAsia="pt-BR"/>
        </w:rPr>
      </w:pPr>
      <w:r w:rsidRPr="00FB4AA6">
        <w:rPr>
          <w:rFonts w:ascii="Arial" w:eastAsia="Times New Roman" w:hAnsi="Arial" w:cs="Arial"/>
          <w:color w:val="879097"/>
          <w:sz w:val="23"/>
          <w:szCs w:val="23"/>
          <w:lang w:eastAsia="pt-BR"/>
        </w:rPr>
        <w:t> </w:t>
      </w:r>
    </w:p>
    <w:p w14:paraId="0A33B3A9" w14:textId="77777777" w:rsidR="00FB4AA6" w:rsidRPr="00FB4AA6" w:rsidRDefault="00FB4AA6" w:rsidP="00FB4AA6">
      <w:pPr>
        <w:spacing w:after="330" w:line="390" w:lineRule="atLeast"/>
        <w:textAlignment w:val="baseline"/>
        <w:rPr>
          <w:rFonts w:ascii="Arial" w:eastAsia="Times New Roman" w:hAnsi="Arial" w:cs="Arial"/>
          <w:color w:val="879097"/>
          <w:sz w:val="23"/>
          <w:szCs w:val="23"/>
          <w:lang w:eastAsia="pt-BR"/>
        </w:rPr>
      </w:pPr>
      <w:r w:rsidRPr="00FB4AA6">
        <w:rPr>
          <w:rFonts w:ascii="Arial" w:eastAsia="Times New Roman" w:hAnsi="Arial" w:cs="Arial"/>
          <w:color w:val="879097"/>
          <w:sz w:val="23"/>
          <w:szCs w:val="23"/>
          <w:lang w:eastAsia="pt-BR"/>
        </w:rPr>
        <w:t>No caso em epígrafe, a decisão fora proferida pelo TCU no âmbito da tomada de contas especial que apura responsabilidades por indícios de irregularidade no contrato firmado pela empresa.</w:t>
      </w:r>
    </w:p>
    <w:p w14:paraId="7C8022C6" w14:textId="77777777" w:rsidR="00FB4AA6" w:rsidRPr="00FB4AA6" w:rsidRDefault="00FB4AA6" w:rsidP="00FB4AA6">
      <w:pPr>
        <w:spacing w:after="330" w:line="390" w:lineRule="atLeast"/>
        <w:textAlignment w:val="baseline"/>
        <w:rPr>
          <w:rFonts w:ascii="Arial" w:eastAsia="Times New Roman" w:hAnsi="Arial" w:cs="Arial"/>
          <w:color w:val="879097"/>
          <w:sz w:val="23"/>
          <w:szCs w:val="23"/>
          <w:lang w:eastAsia="pt-BR"/>
        </w:rPr>
      </w:pPr>
      <w:r w:rsidRPr="00FB4AA6">
        <w:rPr>
          <w:rFonts w:ascii="Arial" w:eastAsia="Times New Roman" w:hAnsi="Arial" w:cs="Arial"/>
          <w:color w:val="879097"/>
          <w:sz w:val="23"/>
          <w:szCs w:val="23"/>
          <w:lang w:eastAsia="pt-BR"/>
        </w:rPr>
        <w:t>O relator do MS, Min. Marco Aurélio, afirmou que não compete ao TCU, órgão administrativo que auxilia o Poder Legislativo, o implemento de medida cautelar que restrinja direitos de particulares de efeitos práticos tão gravosos como a indisponibilidade de bens e a desconsideração da personalidade jurídica, que configuram nada menos que sanções patrimoniais antecipadas.</w:t>
      </w:r>
    </w:p>
    <w:p w14:paraId="5AC2F19A" w14:textId="77777777" w:rsidR="00FB4AA6" w:rsidRPr="00FB4AA6" w:rsidRDefault="00FB4AA6" w:rsidP="00FB4AA6">
      <w:pPr>
        <w:spacing w:after="330" w:line="390" w:lineRule="atLeast"/>
        <w:textAlignment w:val="baseline"/>
        <w:rPr>
          <w:rFonts w:ascii="Arial" w:eastAsia="Times New Roman" w:hAnsi="Arial" w:cs="Arial"/>
          <w:color w:val="879097"/>
          <w:sz w:val="23"/>
          <w:szCs w:val="23"/>
          <w:lang w:eastAsia="pt-BR"/>
        </w:rPr>
      </w:pPr>
      <w:r w:rsidRPr="00FB4AA6">
        <w:rPr>
          <w:rFonts w:ascii="Arial" w:eastAsia="Times New Roman" w:hAnsi="Arial" w:cs="Arial"/>
          <w:color w:val="879097"/>
          <w:sz w:val="23"/>
          <w:szCs w:val="23"/>
          <w:lang w:eastAsia="pt-BR"/>
        </w:rPr>
        <w:t> </w:t>
      </w:r>
    </w:p>
    <w:p w14:paraId="03BB7B8A" w14:textId="77777777" w:rsidR="00FB4AA6" w:rsidRPr="00FB4AA6" w:rsidRDefault="00FB4AA6" w:rsidP="00FB4AA6">
      <w:pPr>
        <w:spacing w:after="0" w:line="390" w:lineRule="atLeast"/>
        <w:textAlignment w:val="baseline"/>
        <w:rPr>
          <w:rFonts w:ascii="Arial" w:eastAsia="Times New Roman" w:hAnsi="Arial" w:cs="Arial"/>
          <w:color w:val="879097"/>
          <w:sz w:val="23"/>
          <w:szCs w:val="23"/>
          <w:lang w:eastAsia="pt-BR"/>
        </w:rPr>
      </w:pPr>
      <w:r w:rsidRPr="00FB4AA6">
        <w:rPr>
          <w:rFonts w:ascii="Arial" w:eastAsia="Times New Roman" w:hAnsi="Arial" w:cs="Arial"/>
          <w:color w:val="879097"/>
          <w:sz w:val="23"/>
          <w:szCs w:val="23"/>
          <w:lang w:eastAsia="pt-BR"/>
        </w:rPr>
        <w:t>Ademais, o Ministro explicou que não se trata de afirmar a ausência do poder geral de cautela do Tribunal de Contas, mas de esclarecer que essa atribuição tem limites, dentro dos quais não se encontra o bloqueio, “</w:t>
      </w:r>
      <w:r w:rsidRPr="00FB4AA6">
        <w:rPr>
          <w:rFonts w:ascii="Arial" w:eastAsia="Times New Roman" w:hAnsi="Arial" w:cs="Arial"/>
          <w:i/>
          <w:iCs/>
          <w:color w:val="879097"/>
          <w:sz w:val="23"/>
          <w:szCs w:val="23"/>
          <w:bdr w:val="none" w:sz="0" w:space="0" w:color="auto" w:frame="1"/>
          <w:lang w:eastAsia="pt-BR"/>
        </w:rPr>
        <w:t>por ato próprio, dotado de autoexecutoriedade</w:t>
      </w:r>
      <w:r w:rsidRPr="00FB4AA6">
        <w:rPr>
          <w:rFonts w:ascii="Arial" w:eastAsia="Times New Roman" w:hAnsi="Arial" w:cs="Arial"/>
          <w:color w:val="879097"/>
          <w:sz w:val="23"/>
          <w:szCs w:val="23"/>
          <w:lang w:eastAsia="pt-BR"/>
        </w:rPr>
        <w:t>”, dos bens de particulares contratantes com a administração pública.</w:t>
      </w:r>
    </w:p>
    <w:p w14:paraId="4A7F0166" w14:textId="2CD0C43B" w:rsidR="00FB4AA6" w:rsidRPr="00FB4AA6" w:rsidRDefault="00FB4AA6" w:rsidP="00FB4AA6">
      <w:pPr>
        <w:spacing w:after="330" w:line="390" w:lineRule="atLeast"/>
        <w:textAlignment w:val="baseline"/>
        <w:rPr>
          <w:rFonts w:ascii="Arial" w:eastAsia="Times New Roman" w:hAnsi="Arial" w:cs="Arial"/>
          <w:color w:val="879097"/>
          <w:sz w:val="23"/>
          <w:szCs w:val="23"/>
          <w:lang w:eastAsia="pt-BR"/>
        </w:rPr>
      </w:pPr>
      <w:r w:rsidRPr="00FB4AA6">
        <w:rPr>
          <w:rFonts w:ascii="Arial" w:eastAsia="Times New Roman" w:hAnsi="Arial" w:cs="Arial"/>
          <w:color w:val="879097"/>
          <w:sz w:val="23"/>
          <w:szCs w:val="23"/>
          <w:lang w:eastAsia="pt-BR"/>
        </w:rPr>
        <w:lastRenderedPageBreak/>
        <w:t> https://mbiasioli.adv.br/julgamento-sobre-competencia-do-tcu-para-determinar-a-indisponibilidade-de-bens-de-particulares-e-suspenso/</w:t>
      </w:r>
    </w:p>
    <w:p w14:paraId="05657C9A" w14:textId="77777777" w:rsidR="00FB4AA6" w:rsidRPr="00FB4AA6" w:rsidRDefault="00FB4AA6" w:rsidP="00FB4AA6">
      <w:pPr>
        <w:spacing w:after="330" w:line="390" w:lineRule="atLeast"/>
        <w:textAlignment w:val="baseline"/>
        <w:rPr>
          <w:rFonts w:ascii="Arial" w:eastAsia="Times New Roman" w:hAnsi="Arial" w:cs="Arial"/>
          <w:color w:val="879097"/>
          <w:sz w:val="23"/>
          <w:szCs w:val="23"/>
          <w:lang w:eastAsia="pt-BR"/>
        </w:rPr>
      </w:pPr>
      <w:r w:rsidRPr="00FB4AA6">
        <w:rPr>
          <w:rFonts w:ascii="Arial" w:eastAsia="Times New Roman" w:hAnsi="Arial" w:cs="Arial"/>
          <w:color w:val="879097"/>
          <w:sz w:val="23"/>
          <w:szCs w:val="23"/>
          <w:lang w:eastAsia="pt-BR"/>
        </w:rPr>
        <w:t>Para o relator, é imprópria a justificativa da medida com base no artigo 44 da Lei Orgânica do TCU (Lei nº 8.443/92), pois o dispositivo diz respeito à disciplina da atuação do responsável pelo contrato público, ou seja, do servidor público, sem abranger o particular.</w:t>
      </w:r>
    </w:p>
    <w:p w14:paraId="2169CB8E" w14:textId="77777777" w:rsidR="00FB4AA6" w:rsidRPr="00FB4AA6" w:rsidRDefault="00FB4AA6" w:rsidP="00FB4AA6">
      <w:pPr>
        <w:spacing w:after="0" w:line="390" w:lineRule="atLeast"/>
        <w:textAlignment w:val="baseline"/>
        <w:rPr>
          <w:rFonts w:ascii="Arial" w:eastAsia="Times New Roman" w:hAnsi="Arial" w:cs="Arial"/>
          <w:color w:val="879097"/>
          <w:sz w:val="23"/>
          <w:szCs w:val="23"/>
          <w:lang w:eastAsia="pt-BR"/>
        </w:rPr>
      </w:pPr>
      <w:r w:rsidRPr="00FB4AA6">
        <w:rPr>
          <w:rFonts w:ascii="Arial" w:eastAsia="Times New Roman" w:hAnsi="Arial" w:cs="Arial"/>
          <w:b/>
          <w:bCs/>
          <w:color w:val="879097"/>
          <w:sz w:val="23"/>
          <w:szCs w:val="23"/>
          <w:bdr w:val="none" w:sz="0" w:space="0" w:color="auto" w:frame="1"/>
          <w:lang w:eastAsia="pt-BR"/>
        </w:rPr>
        <w:t>Amanda Felix</w:t>
      </w:r>
    </w:p>
    <w:p w14:paraId="72B2D57C" w14:textId="77777777" w:rsidR="00FB4AA6" w:rsidRPr="00FB4AA6" w:rsidRDefault="00FB4AA6" w:rsidP="00FB4AA6">
      <w:pPr>
        <w:spacing w:after="0" w:line="390" w:lineRule="atLeast"/>
        <w:textAlignment w:val="baseline"/>
        <w:rPr>
          <w:rFonts w:ascii="Arial" w:eastAsia="Times New Roman" w:hAnsi="Arial" w:cs="Arial"/>
          <w:color w:val="879097"/>
          <w:sz w:val="23"/>
          <w:szCs w:val="23"/>
          <w:lang w:eastAsia="pt-BR"/>
        </w:rPr>
      </w:pPr>
      <w:hyperlink r:id="rId4" w:history="1">
        <w:r w:rsidRPr="00FB4AA6">
          <w:rPr>
            <w:rFonts w:ascii="Arial" w:eastAsia="Times New Roman" w:hAnsi="Arial" w:cs="Arial"/>
            <w:b/>
            <w:bCs/>
            <w:color w:val="303030"/>
            <w:sz w:val="23"/>
            <w:szCs w:val="23"/>
            <w:bdr w:val="none" w:sz="0" w:space="0" w:color="auto" w:frame="1"/>
            <w:lang w:eastAsia="pt-BR"/>
          </w:rPr>
          <w:t>Fonte</w:t>
        </w:r>
      </w:hyperlink>
    </w:p>
    <w:p w14:paraId="51B4DA26" w14:textId="77777777" w:rsidR="00FB4AA6" w:rsidRPr="00FB4AA6" w:rsidRDefault="00FB4AA6" w:rsidP="00FB4AA6">
      <w:pPr>
        <w:spacing w:line="240" w:lineRule="auto"/>
        <w:textAlignment w:val="baseline"/>
        <w:rPr>
          <w:rFonts w:ascii="Arial" w:eastAsia="Times New Roman" w:hAnsi="Arial" w:cs="Arial"/>
          <w:color w:val="879097"/>
          <w:sz w:val="23"/>
          <w:szCs w:val="23"/>
          <w:lang w:eastAsia="pt-BR"/>
        </w:rPr>
      </w:pPr>
      <w:r w:rsidRPr="00FB4AA6">
        <w:rPr>
          <w:rFonts w:ascii="Arial" w:eastAsia="Times New Roman" w:hAnsi="Arial" w:cs="Arial"/>
          <w:color w:val="879097"/>
          <w:sz w:val="23"/>
          <w:szCs w:val="23"/>
          <w:lang w:eastAsia="pt-BR"/>
        </w:rPr>
        <w:t>Compartilhe nas suas redes sociais:</w:t>
      </w:r>
    </w:p>
    <w:p w14:paraId="1DC3857B" w14:textId="77777777" w:rsidR="00FB4AA6" w:rsidRDefault="00FB4AA6"/>
    <w:sectPr w:rsidR="00FB4A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A6"/>
    <w:rsid w:val="00FB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E608"/>
  <w15:chartTrackingRefBased/>
  <w15:docId w15:val="{AC1E9C73-3CBF-402E-ABB4-1AD83814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4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26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151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f.jus.br/portal/cms/verNoticiaDetalhe.asp?idConteudo=44635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Pinheiro Silva</dc:creator>
  <cp:keywords/>
  <dc:description/>
  <cp:lastModifiedBy>Carla Pinheiro Silva</cp:lastModifiedBy>
  <cp:revision>1</cp:revision>
  <dcterms:created xsi:type="dcterms:W3CDTF">2022-08-22T23:07:00Z</dcterms:created>
  <dcterms:modified xsi:type="dcterms:W3CDTF">2022-08-22T23:08:00Z</dcterms:modified>
</cp:coreProperties>
</file>